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楷体"/>
          <w:bCs/>
          <w:sz w:val="36"/>
          <w:szCs w:val="36"/>
        </w:rPr>
      </w:pPr>
    </w:p>
    <w:p>
      <w:pPr>
        <w:jc w:val="center"/>
        <w:rPr>
          <w:rFonts w:ascii="Times New Roman" w:hAnsi="Times New Roman" w:eastAsia="华文中宋" w:cs="楷体"/>
          <w:bCs/>
          <w:sz w:val="36"/>
          <w:szCs w:val="36"/>
        </w:rPr>
      </w:pPr>
      <w:r>
        <w:rPr>
          <w:rFonts w:hint="eastAsia" w:ascii="Times New Roman" w:hAnsi="Times New Roman" w:eastAsia="华文中宋" w:cs="楷体"/>
          <w:bCs/>
          <w:sz w:val="36"/>
          <w:szCs w:val="36"/>
        </w:rPr>
        <w:t>关于</w:t>
      </w:r>
      <w:r>
        <w:rPr>
          <w:rFonts w:hint="eastAsia" w:eastAsia="华文中宋" w:cs="楷体"/>
          <w:bCs/>
          <w:sz w:val="36"/>
          <w:szCs w:val="36"/>
          <w:lang w:eastAsia="zh-CN"/>
        </w:rPr>
        <w:t>2024</w:t>
      </w:r>
      <w:r>
        <w:rPr>
          <w:rFonts w:hint="eastAsia" w:ascii="Times New Roman" w:hAnsi="Times New Roman" w:eastAsia="华文中宋" w:cs="楷体"/>
          <w:bCs/>
          <w:sz w:val="36"/>
          <w:szCs w:val="36"/>
        </w:rPr>
        <w:t>年全国休闲农业重点县监测工作的说明</w:t>
      </w:r>
    </w:p>
    <w:p>
      <w:pPr>
        <w:ind w:firstLine="640" w:firstLineChars="200"/>
        <w:rPr>
          <w:rFonts w:ascii="Times New Roman" w:hAnsi="Times New Roman" w:eastAsia="黑体" w:cs="Times New Roman"/>
          <w:bCs/>
          <w:sz w:val="32"/>
          <w:szCs w:val="32"/>
        </w:rPr>
      </w:pPr>
    </w:p>
    <w:p>
      <w:pPr>
        <w:ind w:firstLine="641"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纳入</w:t>
      </w:r>
      <w:r>
        <w:rPr>
          <w:rFonts w:hint="eastAsia" w:eastAsia="仿宋_GB2312" w:cs="Times New Roman"/>
          <w:sz w:val="32"/>
          <w:szCs w:val="32"/>
          <w:lang w:eastAsia="zh-CN"/>
        </w:rPr>
        <w:t>2024</w:t>
      </w:r>
      <w:r>
        <w:rPr>
          <w:rFonts w:hint="eastAsia" w:ascii="Times New Roman" w:hAnsi="Times New Roman" w:eastAsia="仿宋_GB2312" w:cs="Times New Roman"/>
          <w:sz w:val="32"/>
          <w:szCs w:val="32"/>
        </w:rPr>
        <w:t>年全国休闲农业重点县监测范围的县（市、区</w:t>
      </w:r>
      <w:r>
        <w:rPr>
          <w:rFonts w:hint="eastAsia" w:eastAsia="仿宋_GB2312" w:cs="Times New Roman"/>
          <w:sz w:val="32"/>
          <w:szCs w:val="32"/>
          <w:lang w:eastAsia="zh-CN"/>
        </w:rPr>
        <w:t>、</w:t>
      </w:r>
      <w:r>
        <w:rPr>
          <w:rFonts w:hint="eastAsia" w:eastAsia="仿宋_GB2312" w:cs="Times New Roman"/>
          <w:sz w:val="32"/>
          <w:szCs w:val="32"/>
          <w:lang w:val="en-US" w:eastAsia="zh-CN"/>
        </w:rPr>
        <w:t>旗</w:t>
      </w:r>
      <w:r>
        <w:rPr>
          <w:rFonts w:hint="eastAsia" w:ascii="Times New Roman" w:hAnsi="Times New Roman" w:eastAsia="仿宋_GB2312" w:cs="Times New Roman"/>
          <w:sz w:val="32"/>
          <w:szCs w:val="32"/>
        </w:rPr>
        <w:t>）为2021</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202</w:t>
      </w:r>
      <w:r>
        <w:rPr>
          <w:rFonts w:hint="eastAsia" w:eastAsia="仿宋_GB2312" w:cs="Times New Roman"/>
          <w:sz w:val="32"/>
          <w:szCs w:val="32"/>
          <w:lang w:val="en-US" w:eastAsia="zh-CN"/>
        </w:rPr>
        <w:t>3年</w:t>
      </w:r>
      <w:r>
        <w:rPr>
          <w:rFonts w:hint="eastAsia" w:ascii="Times New Roman" w:hAnsi="Times New Roman" w:eastAsia="仿宋_GB2312" w:cs="Times New Roman"/>
          <w:sz w:val="32"/>
          <w:szCs w:val="32"/>
        </w:rPr>
        <w:t>农业农村部</w:t>
      </w:r>
      <w:r>
        <w:rPr>
          <w:rFonts w:hint="eastAsia" w:eastAsia="仿宋_GB2312" w:cs="Times New Roman"/>
          <w:sz w:val="32"/>
          <w:szCs w:val="32"/>
          <w:lang w:eastAsia="zh-CN"/>
        </w:rPr>
        <w:t>确定</w:t>
      </w:r>
      <w:r>
        <w:rPr>
          <w:rFonts w:hint="eastAsia" w:ascii="Times New Roman" w:hAnsi="Times New Roman" w:eastAsia="仿宋_GB2312" w:cs="Times New Roman"/>
          <w:sz w:val="32"/>
          <w:szCs w:val="32"/>
        </w:rPr>
        <w:t>的</w:t>
      </w:r>
      <w:r>
        <w:rPr>
          <w:rFonts w:hint="eastAsia" w:ascii="Times New Roman" w:hAnsi="Times New Roman" w:eastAsia="仿宋_GB2312" w:cs="Times New Roman"/>
          <w:sz w:val="32"/>
          <w:szCs w:val="32"/>
          <w:lang w:val="en-US" w:eastAsia="zh-CN"/>
        </w:rPr>
        <w:t>1</w:t>
      </w:r>
      <w:r>
        <w:rPr>
          <w:rFonts w:hint="eastAsia" w:eastAsia="仿宋_GB2312" w:cs="Times New Roman"/>
          <w:sz w:val="32"/>
          <w:szCs w:val="32"/>
          <w:lang w:val="en-US" w:eastAsia="zh-CN"/>
        </w:rPr>
        <w:t>8</w:t>
      </w:r>
      <w:r>
        <w:rPr>
          <w:rFonts w:hint="eastAsia" w:ascii="Times New Roman" w:hAnsi="Times New Roman" w:eastAsia="仿宋_GB2312" w:cs="Times New Roman"/>
          <w:sz w:val="32"/>
          <w:szCs w:val="32"/>
        </w:rPr>
        <w:t>0个全国休闲农业重点县，具体名单详见《农业农村部办公厅关于公布2021年全国休闲农业重点县的通知》（农办产〔2021〕11号）《农业农村部办公厅关于公布202</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年全国休闲农业重点县的通知》（农办产〔</w:t>
      </w:r>
      <w:r>
        <w:rPr>
          <w:rFonts w:hint="eastAsia" w:eastAsia="仿宋_GB2312" w:cs="Times New Roman"/>
          <w:sz w:val="32"/>
          <w:szCs w:val="32"/>
          <w:lang w:eastAsia="zh-CN"/>
        </w:rPr>
        <w:t>202</w:t>
      </w:r>
      <w:r>
        <w:rPr>
          <w:rFonts w:hint="eastAsia" w:eastAsia="仿宋_GB2312" w:cs="Times New Roman"/>
          <w:sz w:val="32"/>
          <w:szCs w:val="32"/>
          <w:lang w:val="en-US" w:eastAsia="zh-CN"/>
        </w:rPr>
        <w:t>3</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号）</w:t>
      </w:r>
      <w:r>
        <w:rPr>
          <w:rFonts w:hint="eastAsia" w:eastAsia="仿宋_GB2312" w:cs="Times New Roman"/>
          <w:sz w:val="32"/>
          <w:szCs w:val="32"/>
          <w:lang w:val="en-US" w:eastAsia="zh-CN"/>
        </w:rPr>
        <w:t xml:space="preserve"> 《农业农村部办公厅关于公布2023年全国休闲农业重点县名单的通知》</w:t>
      </w:r>
      <w:r>
        <w:rPr>
          <w:rFonts w:hint="eastAsia" w:ascii="Times New Roman" w:hAnsi="Times New Roman" w:eastAsia="仿宋_GB2312" w:cs="Times New Roman"/>
          <w:sz w:val="32"/>
          <w:szCs w:val="32"/>
        </w:rPr>
        <w:t>（</w:t>
      </w:r>
      <w:r>
        <w:rPr>
          <w:rFonts w:hint="eastAsia" w:eastAsia="仿宋_GB2312" w:cs="Times New Roman"/>
          <w:sz w:val="32"/>
          <w:szCs w:val="32"/>
          <w:lang w:val="en-US" w:eastAsia="zh-CN"/>
        </w:rPr>
        <w:t>农办产〔2023〕9号</w:t>
      </w:r>
      <w:r>
        <w:rPr>
          <w:rFonts w:hint="eastAsia" w:ascii="Times New Roman" w:hAnsi="Times New Roman" w:eastAsia="仿宋_GB2312" w:cs="Times New Roman"/>
          <w:sz w:val="32"/>
          <w:szCs w:val="32"/>
        </w:rPr>
        <w:t>）。</w:t>
      </w:r>
      <w:r>
        <w:rPr>
          <w:rFonts w:hint="default" w:ascii="Times New Roman" w:hAnsi="Times New Roman" w:eastAsia="仿宋_GB2312" w:cs="Times New Roman"/>
          <w:sz w:val="32"/>
          <w:szCs w:val="32"/>
        </w:rPr>
        <w:t>农业农村部将组织专家根据休闲农业重点县报送的监测材料进行科学评价</w:t>
      </w:r>
      <w:r>
        <w:rPr>
          <w:rFonts w:hint="eastAsia" w:eastAsia="仿宋_GB2312" w:cs="Times New Roman"/>
          <w:sz w:val="32"/>
          <w:szCs w:val="32"/>
          <w:lang w:eastAsia="zh-CN"/>
        </w:rPr>
        <w:t>。</w:t>
      </w:r>
      <w:r>
        <w:rPr>
          <w:rFonts w:hint="eastAsia" w:eastAsia="仿宋_GB2312" w:cs="Times New Roman"/>
          <w:sz w:val="32"/>
          <w:szCs w:val="32"/>
          <w:lang w:val="en-US" w:eastAsia="zh-CN"/>
        </w:rPr>
        <w:t>对第一批重点县开展综合评估，评估达标的重点县继续保留资格，评估不达标的重点县，责令限期整改，整改后仍不能达标的，取消“全国休闲农业重点县”资格。对第二批、第三批重点县开展常规监测，</w:t>
      </w:r>
      <w:r>
        <w:rPr>
          <w:rFonts w:hint="default" w:ascii="Times New Roman" w:hAnsi="Times New Roman" w:eastAsia="仿宋_GB2312" w:cs="Times New Roman"/>
          <w:sz w:val="32"/>
          <w:szCs w:val="32"/>
        </w:rPr>
        <w:t>对</w:t>
      </w:r>
      <w:r>
        <w:rPr>
          <w:rFonts w:hint="eastAsia" w:eastAsia="仿宋_GB2312" w:cs="Times New Roman"/>
          <w:sz w:val="32"/>
          <w:szCs w:val="32"/>
          <w:lang w:val="en-US" w:eastAsia="zh-CN"/>
        </w:rPr>
        <w:t>监测</w:t>
      </w:r>
      <w:r>
        <w:rPr>
          <w:rFonts w:hint="default" w:ascii="Times New Roman" w:hAnsi="Times New Roman" w:eastAsia="仿宋_GB2312" w:cs="Times New Roman"/>
          <w:sz w:val="32"/>
          <w:szCs w:val="32"/>
        </w:rPr>
        <w:t>排名靠后</w:t>
      </w:r>
      <w:r>
        <w:rPr>
          <w:rFonts w:hint="eastAsia" w:eastAsia="仿宋_GB2312" w:cs="Times New Roman"/>
          <w:sz w:val="32"/>
          <w:szCs w:val="32"/>
          <w:lang w:val="en-US" w:eastAsia="zh-CN"/>
        </w:rPr>
        <w:t>的</w:t>
      </w:r>
      <w:r>
        <w:rPr>
          <w:rFonts w:hint="default" w:ascii="Times New Roman" w:hAnsi="Times New Roman" w:eastAsia="仿宋_GB2312" w:cs="Times New Roman"/>
          <w:sz w:val="32"/>
          <w:szCs w:val="32"/>
        </w:rPr>
        <w:t>重点县提出预警；</w:t>
      </w:r>
      <w:r>
        <w:rPr>
          <w:rFonts w:hint="eastAsia" w:eastAsia="仿宋_GB2312" w:cs="Times New Roman"/>
          <w:sz w:val="32"/>
          <w:szCs w:val="32"/>
          <w:lang w:val="en-US" w:eastAsia="zh-CN"/>
        </w:rPr>
        <w:t>并将</w:t>
      </w:r>
      <w:r>
        <w:rPr>
          <w:rFonts w:hint="default" w:ascii="Times New Roman" w:hAnsi="Times New Roman" w:eastAsia="仿宋_GB2312" w:cs="Times New Roman"/>
          <w:sz w:val="32"/>
          <w:szCs w:val="32"/>
        </w:rPr>
        <w:t>监测</w:t>
      </w:r>
      <w:r>
        <w:rPr>
          <w:rFonts w:hint="eastAsia" w:eastAsia="仿宋_GB2312" w:cs="Times New Roman"/>
          <w:sz w:val="32"/>
          <w:szCs w:val="32"/>
          <w:lang w:val="en-US" w:eastAsia="zh-CN"/>
        </w:rPr>
        <w:t>评估</w:t>
      </w:r>
      <w:r>
        <w:rPr>
          <w:rFonts w:hint="default" w:ascii="Times New Roman" w:hAnsi="Times New Roman" w:eastAsia="仿宋_GB2312" w:cs="Times New Roman"/>
          <w:sz w:val="32"/>
          <w:szCs w:val="32"/>
        </w:rPr>
        <w:t>结果</w:t>
      </w:r>
      <w:r>
        <w:rPr>
          <w:rFonts w:hint="eastAsia" w:eastAsia="仿宋_GB2312" w:cs="Times New Roman"/>
          <w:sz w:val="32"/>
          <w:szCs w:val="32"/>
          <w:lang w:val="en-US" w:eastAsia="zh-CN"/>
        </w:rPr>
        <w:t>与</w:t>
      </w:r>
      <w:r>
        <w:rPr>
          <w:rFonts w:hint="eastAsia" w:ascii="Times New Roman" w:hAnsi="Times New Roman" w:eastAsia="仿宋_GB2312" w:cs="Times New Roman"/>
          <w:sz w:val="32"/>
          <w:szCs w:val="32"/>
          <w:lang w:eastAsia="zh-CN"/>
        </w:rPr>
        <w:t>下</w:t>
      </w:r>
      <w:r>
        <w:rPr>
          <w:rFonts w:hint="eastAsia" w:eastAsia="仿宋_GB2312" w:cs="Times New Roman"/>
          <w:sz w:val="32"/>
          <w:szCs w:val="32"/>
          <w:lang w:val="en-US" w:eastAsia="zh-CN"/>
        </w:rPr>
        <w:t>一批</w:t>
      </w:r>
      <w:r>
        <w:rPr>
          <w:rFonts w:hint="default" w:ascii="Times New Roman" w:hAnsi="Times New Roman" w:eastAsia="仿宋_GB2312" w:cs="Times New Roman"/>
          <w:sz w:val="32"/>
          <w:szCs w:val="32"/>
        </w:rPr>
        <w:t>重点县</w:t>
      </w:r>
      <w:r>
        <w:rPr>
          <w:rFonts w:hint="eastAsia" w:eastAsia="仿宋_GB2312" w:cs="Times New Roman"/>
          <w:sz w:val="32"/>
          <w:szCs w:val="32"/>
          <w:lang w:val="en-US" w:eastAsia="zh-CN"/>
        </w:rPr>
        <w:t>省级</w:t>
      </w:r>
      <w:r>
        <w:rPr>
          <w:rFonts w:hint="default" w:ascii="Times New Roman" w:hAnsi="Times New Roman" w:eastAsia="仿宋_GB2312" w:cs="Times New Roman"/>
          <w:sz w:val="32"/>
          <w:szCs w:val="32"/>
        </w:rPr>
        <w:t>申报</w:t>
      </w:r>
      <w:r>
        <w:rPr>
          <w:rFonts w:hint="eastAsia" w:eastAsia="仿宋_GB2312" w:cs="Times New Roman"/>
          <w:sz w:val="32"/>
          <w:szCs w:val="32"/>
          <w:lang w:val="en-US" w:eastAsia="zh-CN"/>
        </w:rPr>
        <w:t>分配</w:t>
      </w:r>
      <w:r>
        <w:rPr>
          <w:rFonts w:hint="default" w:ascii="Times New Roman" w:hAnsi="Times New Roman" w:eastAsia="仿宋_GB2312" w:cs="Times New Roman"/>
          <w:sz w:val="32"/>
          <w:szCs w:val="32"/>
        </w:rPr>
        <w:t>名额</w:t>
      </w:r>
      <w:r>
        <w:rPr>
          <w:rFonts w:hint="eastAsia" w:eastAsia="仿宋_GB2312" w:cs="Times New Roman"/>
          <w:sz w:val="32"/>
          <w:szCs w:val="32"/>
          <w:lang w:val="en-US" w:eastAsia="zh-CN"/>
        </w:rPr>
        <w:t>挂钩</w:t>
      </w:r>
      <w:r>
        <w:rPr>
          <w:rFonts w:hint="default" w:ascii="Times New Roman" w:hAnsi="Times New Roman" w:eastAsia="仿宋_GB2312" w:cs="Times New Roman"/>
          <w:sz w:val="32"/>
          <w:szCs w:val="32"/>
        </w:rPr>
        <w:t>。</w:t>
      </w:r>
    </w:p>
    <w:p>
      <w:pPr>
        <w:numPr>
          <w:ilvl w:val="0"/>
          <w:numId w:val="1"/>
        </w:numPr>
        <w:ind w:firstLine="640" w:firstLineChars="200"/>
        <w:rPr>
          <w:rFonts w:ascii="Times New Roman" w:hAnsi="Times New Roman" w:eastAsia="黑体" w:cs="Times New Roman"/>
          <w:bCs/>
          <w:sz w:val="32"/>
          <w:szCs w:val="32"/>
        </w:rPr>
      </w:pPr>
      <w:r>
        <w:rPr>
          <w:rFonts w:hint="eastAsia" w:ascii="Times New Roman" w:hAnsi="Times New Roman" w:eastAsia="黑体" w:cs="Times New Roman"/>
          <w:bCs/>
          <w:sz w:val="32"/>
          <w:szCs w:val="32"/>
        </w:rPr>
        <w:t>填报材料主要内容完整性审核</w:t>
      </w:r>
    </w:p>
    <w:p>
      <w:pPr>
        <w:numPr>
          <w:ilvl w:val="255"/>
          <w:numId w:val="0"/>
        </w:numPr>
        <w:ind w:firstLine="640" w:firstLineChars="200"/>
        <w:rPr>
          <w:rFonts w:ascii="Times New Roman" w:hAnsi="Times New Roman" w:eastAsia="仿宋_GB2312" w:cs="仿宋_GB2312"/>
          <w:color w:val="000000"/>
          <w:sz w:val="32"/>
          <w:szCs w:val="32"/>
          <w:shd w:val="clear" w:color="auto" w:fill="FFFFFF"/>
        </w:rPr>
      </w:pPr>
      <w:r>
        <w:rPr>
          <w:rFonts w:hint="eastAsia" w:ascii="Times New Roman" w:hAnsi="Times New Roman" w:eastAsia="仿宋_GB2312" w:cs="Times New Roman"/>
          <w:sz w:val="32"/>
          <w:szCs w:val="32"/>
        </w:rPr>
        <w:t>1.省级部门要根据县级填报的监测表和证明材料，提出监测评估意见，以省级农业农村部门名义行文报农业农村部，</w:t>
      </w:r>
      <w:r>
        <w:rPr>
          <w:rFonts w:hint="eastAsia" w:ascii="Times New Roman" w:hAnsi="Times New Roman" w:eastAsia="仿宋_GB2312" w:cs="仿宋_GB2312"/>
          <w:color w:val="000000"/>
          <w:sz w:val="32"/>
          <w:szCs w:val="32"/>
          <w:shd w:val="clear" w:color="auto" w:fill="FFFFFF"/>
        </w:rPr>
        <w:t>并附监测评估意见和相关材料。</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eastAsia="仿宋_GB2312" w:cs="Times New Roman"/>
          <w:sz w:val="32"/>
          <w:szCs w:val="32"/>
          <w:lang w:eastAsia="zh-CN"/>
        </w:rPr>
        <w:t>2024</w:t>
      </w:r>
      <w:r>
        <w:rPr>
          <w:rFonts w:hint="eastAsia" w:ascii="Times New Roman" w:hAnsi="Times New Roman" w:eastAsia="仿宋_GB2312" w:cs="Times New Roman"/>
          <w:sz w:val="32"/>
          <w:szCs w:val="32"/>
        </w:rPr>
        <w:t>年全国休闲农业重点县监测表》填写规范性、省县两级盖章。</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eastAsia="仿宋_GB2312" w:cs="Times New Roman"/>
          <w:sz w:val="32"/>
          <w:szCs w:val="32"/>
          <w:lang w:eastAsia="zh-CN"/>
        </w:rPr>
        <w:t>2024</w:t>
      </w:r>
      <w:r>
        <w:rPr>
          <w:rFonts w:hint="eastAsia" w:ascii="Times New Roman" w:hAnsi="Times New Roman" w:eastAsia="仿宋_GB2312" w:cs="Times New Roman"/>
          <w:sz w:val="32"/>
          <w:szCs w:val="32"/>
        </w:rPr>
        <w:t>年全国休闲农业重点县监测表》中要求的提供证明材料的指标主要有：</w:t>
      </w:r>
    </w:p>
    <w:p>
      <w:pPr>
        <w:widowControl/>
        <w:ind w:right="105" w:rightChars="50" w:firstLine="640" w:firstLineChars="200"/>
        <w:rPr>
          <w:rFonts w:ascii="Times New Roman" w:hAnsi="Times New Roman" w:eastAsia="仿宋" w:cs="仿宋"/>
          <w:color w:val="000000"/>
          <w:sz w:val="32"/>
          <w:szCs w:val="32"/>
        </w:rPr>
      </w:pPr>
      <w:r>
        <w:rPr>
          <w:rFonts w:hint="eastAsia" w:ascii="Times New Roman" w:hAnsi="Times New Roman" w:eastAsia="仿宋_GB2312" w:cs="Times New Roman"/>
          <w:sz w:val="32"/>
          <w:szCs w:val="32"/>
        </w:rPr>
        <w:t>（1）生态休闲项目类型，包括山地休闲类、水上休闲类、森林休闲类、农田景观休闲类、草地休闲类和沙漠休闲类。总数量不超过6个。请提供项目年营业收入、接待人数、活动照片、视频、公开报道等证明材料。</w:t>
      </w:r>
    </w:p>
    <w:p>
      <w:pPr>
        <w:widowControl/>
        <w:ind w:right="105" w:rightChars="5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乡村休闲文化体验项目类型，包括特色乡土美食类、特色农事体验类、民俗文化节庆类、传统手工技艺类、特色艺术表演类和地方历史文化重现类。总数量不超过6个，请提供项目年营业收入、接待人数、活动照片、视频、公开报道等证明材料。</w:t>
      </w:r>
    </w:p>
    <w:p>
      <w:pPr>
        <w:widowControl/>
        <w:ind w:right="105" w:rightChars="5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val="en-US" w:eastAsia="zh-CN"/>
        </w:rPr>
        <w:t>重点县在机制创新、政策创设、示范带动等方面出台的政策文件、取得的突出成效等证明材料。例如成立县级主要领导任组长的休闲农业重点县建设领导小组通知或领导小组研讨支持发展休闲农业的会议纪要等。出台的支持</w:t>
      </w:r>
      <w:r>
        <w:rPr>
          <w:rFonts w:hint="eastAsia" w:ascii="Times New Roman" w:hAnsi="Times New Roman" w:eastAsia="仿宋_GB2312" w:cs="Times New Roman"/>
          <w:bCs w:val="0"/>
          <w:color w:val="auto"/>
          <w:sz w:val="32"/>
          <w:szCs w:val="32"/>
        </w:rPr>
        <w:t>休闲农业和乡村旅游人才引进和培训</w:t>
      </w:r>
      <w:r>
        <w:rPr>
          <w:rFonts w:hint="eastAsia" w:ascii="Times New Roman" w:hAnsi="Times New Roman" w:eastAsia="仿宋_GB2312" w:cs="Times New Roman"/>
          <w:bCs w:val="0"/>
          <w:color w:val="auto"/>
          <w:sz w:val="32"/>
          <w:szCs w:val="32"/>
          <w:lang w:eastAsia="zh-CN"/>
        </w:rPr>
        <w:t>、</w:t>
      </w:r>
      <w:r>
        <w:rPr>
          <w:rFonts w:hint="eastAsia" w:ascii="Times New Roman" w:hAnsi="Times New Roman" w:eastAsia="仿宋_GB2312" w:cs="Times New Roman"/>
          <w:bCs w:val="0"/>
          <w:color w:val="auto"/>
          <w:sz w:val="32"/>
          <w:szCs w:val="32"/>
        </w:rPr>
        <w:t>用地</w:t>
      </w:r>
      <w:r>
        <w:rPr>
          <w:rFonts w:hint="eastAsia" w:ascii="Times New Roman" w:hAnsi="Times New Roman" w:eastAsia="仿宋_GB2312" w:cs="Times New Roman"/>
          <w:bCs w:val="0"/>
          <w:sz w:val="32"/>
          <w:szCs w:val="32"/>
          <w:lang w:val="en-US" w:eastAsia="zh-CN"/>
        </w:rPr>
        <w:t>保障</w:t>
      </w:r>
      <w:r>
        <w:rPr>
          <w:rFonts w:hint="eastAsia" w:ascii="Times New Roman" w:hAnsi="Times New Roman" w:eastAsia="仿宋_GB2312" w:cs="Times New Roman"/>
          <w:bCs w:val="0"/>
          <w:color w:val="auto"/>
          <w:sz w:val="32"/>
          <w:szCs w:val="32"/>
          <w:lang w:eastAsia="zh-CN"/>
        </w:rPr>
        <w:t>、</w:t>
      </w:r>
      <w:r>
        <w:rPr>
          <w:rFonts w:hint="eastAsia" w:ascii="Times New Roman" w:hAnsi="Times New Roman" w:eastAsia="仿宋_GB2312" w:cs="Times New Roman"/>
          <w:bCs w:val="0"/>
          <w:sz w:val="32"/>
          <w:szCs w:val="32"/>
          <w:lang w:val="en-US" w:eastAsia="zh-CN"/>
        </w:rPr>
        <w:t>融资等</w:t>
      </w:r>
      <w:r>
        <w:rPr>
          <w:rFonts w:hint="eastAsia" w:ascii="Times New Roman" w:hAnsi="Times New Roman" w:eastAsia="仿宋_GB2312" w:cs="Times New Roman"/>
          <w:bCs w:val="0"/>
          <w:color w:val="auto"/>
          <w:sz w:val="32"/>
          <w:szCs w:val="32"/>
        </w:rPr>
        <w:t>政策</w:t>
      </w:r>
      <w:r>
        <w:rPr>
          <w:rFonts w:hint="eastAsia" w:ascii="Times New Roman" w:hAnsi="Times New Roman" w:eastAsia="仿宋_GB2312" w:cs="Times New Roman"/>
          <w:bCs w:val="0"/>
          <w:sz w:val="32"/>
          <w:szCs w:val="32"/>
          <w:lang w:val="en-US" w:eastAsia="zh-CN"/>
        </w:rPr>
        <w:t>文件</w:t>
      </w:r>
      <w:r>
        <w:rPr>
          <w:rFonts w:hint="eastAsia" w:ascii="Times New Roman" w:hAnsi="Times New Roman" w:eastAsia="仿宋_GB2312" w:cs="Times New Roman"/>
          <w:bCs w:val="0"/>
          <w:color w:val="auto"/>
          <w:sz w:val="32"/>
          <w:szCs w:val="32"/>
        </w:rPr>
        <w:t>。</w:t>
      </w:r>
    </w:p>
    <w:p>
      <w:pPr>
        <w:ind w:firstLine="640" w:firstLineChars="200"/>
        <w:rPr>
          <w:rFonts w:ascii="Times New Roman" w:hAnsi="Times New Roman" w:eastAsia="仿宋_GB2312" w:cs="Times New Roman"/>
          <w:b/>
          <w:bCs/>
          <w:sz w:val="32"/>
          <w:szCs w:val="32"/>
        </w:rPr>
      </w:pPr>
      <w:r>
        <w:rPr>
          <w:rFonts w:hint="eastAsia" w:ascii="Times New Roman" w:hAnsi="Times New Roman" w:eastAsia="黑体" w:cs="Times New Roman"/>
          <w:bCs/>
          <w:sz w:val="32"/>
          <w:szCs w:val="32"/>
        </w:rPr>
        <w:t>二、主要数据指标真实性审核</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1.非物质文化遗产数量，根据公开的省级及以上非物质文化遗产名录进行核实。</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2.地市级（含）以上科普教育基地数量，根据地市级及以上相关部门公布的科普教育基地名单文件进行核实。</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ascii="Times New Roman" w:hAnsi="Times New Roman" w:eastAsia="仿宋_GB2312" w:cs="Times New Roman"/>
          <w:color w:val="000000"/>
          <w:sz w:val="32"/>
          <w:szCs w:val="32"/>
        </w:rPr>
        <w:t>省级及以上美丽休闲乡村数量（个）</w:t>
      </w:r>
      <w:r>
        <w:rPr>
          <w:rFonts w:hint="eastAsia" w:ascii="Times New Roman" w:hAnsi="Times New Roman" w:eastAsia="仿宋_GB2312" w:cs="Times New Roman"/>
          <w:sz w:val="32"/>
          <w:szCs w:val="32"/>
        </w:rPr>
        <w:t>，根据各省及农业农村部印发的美丽休闲乡村名单文件进行核实。</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4.休闲农业接待人次近三年平均增速的真实性。</w:t>
      </w:r>
      <w:r>
        <w:rPr>
          <w:rFonts w:hint="eastAsia" w:ascii="Times New Roman" w:hAnsi="Times New Roman" w:eastAsia="仿宋_GB2312" w:cs="Times New Roman"/>
          <w:color w:val="000000" w:themeColor="text1"/>
          <w:sz w:val="32"/>
          <w:szCs w:val="32"/>
          <w:lang w:val="en-US" w:eastAsia="zh-CN"/>
        </w:rPr>
        <w:t>根据各县提供的原始数据和历年监测数据核算。</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5.休闲农业经营收入近三年平均增速的真实性。</w:t>
      </w:r>
      <w:r>
        <w:rPr>
          <w:rFonts w:hint="eastAsia" w:ascii="Times New Roman" w:hAnsi="Times New Roman" w:eastAsia="仿宋_GB2312" w:cs="Times New Roman"/>
          <w:color w:val="000000" w:themeColor="text1"/>
          <w:sz w:val="32"/>
          <w:szCs w:val="32"/>
          <w:lang w:val="en-US" w:eastAsia="zh-CN"/>
        </w:rPr>
        <w:t>根据各县提供的原始数据和历年监测数据核算。</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6.从业人员中农民就业比例的核算。根据申报表中“休闲农业从业人数”与“其中农民从业人数”两项予以核算。</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7.全县农产品加工业产值的核实。根据统计年鉴及公开文件予以核实。</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8.全县（市、区）农业总产值的核实，根据统计年鉴及公开文件予以核实。</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9.全县（市、区）农林牧渔业增加值的核实。根据统计年鉴及公开文件予以核实。</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10.全县（市、区）第一产业增加值的核实，根据统计年鉴及公开文件予以核实。</w:t>
      </w:r>
    </w:p>
    <w:p>
      <w:pPr>
        <w:ind w:firstLine="640" w:firstLineChars="200"/>
        <w:rPr>
          <w:rFonts w:ascii="Times New Roman" w:hAnsi="Times New Roman" w:eastAsia="黑体" w:cs="Times New Roman"/>
          <w:bCs/>
          <w:sz w:val="32"/>
          <w:szCs w:val="32"/>
        </w:rPr>
      </w:pPr>
      <w:r>
        <w:rPr>
          <w:rFonts w:hint="eastAsia" w:ascii="Times New Roman" w:hAnsi="Times New Roman" w:eastAsia="黑体" w:cs="Times New Roman"/>
          <w:bCs/>
          <w:sz w:val="32"/>
          <w:szCs w:val="32"/>
        </w:rPr>
        <w:t>三、部分指标说明及计算公式</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1.全县（市、区）近三年带动本地农产品销售额（万元）</w:t>
      </w:r>
      <w:r>
        <w:rPr>
          <w:rFonts w:hint="eastAsia" w:ascii="Times New Roman" w:hAnsi="Times New Roman" w:eastAsia="仿宋_GB2312" w:cs="Times New Roman"/>
          <w:sz w:val="32"/>
          <w:szCs w:val="32"/>
          <w:highlight w:val="none"/>
        </w:rPr>
        <w:t>:20</w:t>
      </w:r>
      <w:r>
        <w:rPr>
          <w:rFonts w:hint="eastAsia" w:ascii="Times New Roman" w:hAnsi="Times New Roman" w:eastAsia="仿宋_GB2312" w:cs="Times New Roman"/>
          <w:sz w:val="32"/>
          <w:szCs w:val="32"/>
          <w:highlight w:val="none"/>
          <w:lang w:val="en-US" w:eastAsia="zh-CN"/>
        </w:rPr>
        <w:t>2</w:t>
      </w:r>
      <w:r>
        <w:rPr>
          <w:rFonts w:hint="eastAsia"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rPr>
        <w:t>年全</w:t>
      </w:r>
      <w:r>
        <w:rPr>
          <w:rFonts w:hint="eastAsia" w:ascii="Times New Roman" w:hAnsi="Times New Roman" w:eastAsia="仿宋_GB2312" w:cs="Times New Roman"/>
          <w:sz w:val="32"/>
          <w:szCs w:val="32"/>
        </w:rPr>
        <w:t>县（市、区）通过休闲农业带动地产农产品销售的年均金额。</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2.全县（市、区）休闲农业从业人员人均收入（元）：指休闲农业从业人员当年从事休闲农业生产经营活动所获的收入平均值。</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3.休闲农业聚集村规划覆盖率（%）：是指已编制村庄建设规划（需涵盖休闲农业专项内容）或村域休闲农业专项规划的休闲农业聚集村与全县休闲农业聚集村总数之比。</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计算公式：休闲农业聚集村规划覆盖率=休闲农业聚集村中已编制休闲农业相关规划的村庄数量/休闲农业聚集村总数×100%。</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4.全县（市、区）休闲农业接待人次近三年平均增速（%）</w:t>
      </w:r>
    </w:p>
    <w:p>
      <w:pPr>
        <w:numPr>
          <w:ilvl w:val="0"/>
          <w:numId w:val="0"/>
        </w:numPr>
        <w:ind w:right="105" w:rightChars="50" w:firstLine="0" w:firstLineChars="0"/>
        <w:rPr>
          <w:rFonts w:eastAsia="仿宋"/>
          <w:highlight w:val="none"/>
        </w:rPr>
      </w:pPr>
      <w:r>
        <w:rPr>
          <w:rFonts w:hint="eastAsia" w:ascii="Times New Roman" w:hAnsi="Times New Roman" w:eastAsia="仿宋_GB2312" w:cs="Times New Roman"/>
          <w:sz w:val="32"/>
          <w:szCs w:val="32"/>
        </w:rPr>
        <w:t>和全县（市、区）休闲农业</w:t>
      </w:r>
      <w:r>
        <w:rPr>
          <w:rFonts w:hint="eastAsia" w:ascii="Times New Roman" w:hAnsi="Times New Roman" w:eastAsia="仿宋_GB2312" w:cs="Times New Roman"/>
          <w:sz w:val="32"/>
          <w:szCs w:val="32"/>
          <w:lang w:val="en-US" w:eastAsia="zh-CN"/>
        </w:rPr>
        <w:t>营业</w:t>
      </w:r>
      <w:r>
        <w:rPr>
          <w:rFonts w:hint="eastAsia" w:ascii="Times New Roman" w:hAnsi="Times New Roman" w:eastAsia="仿宋_GB2312" w:cs="Times New Roman"/>
          <w:sz w:val="32"/>
          <w:szCs w:val="32"/>
        </w:rPr>
        <w:t>收入近三年平均增速（%）</w:t>
      </w:r>
      <w:r>
        <w:rPr>
          <w:rFonts w:hint="eastAsia" w:ascii="Times New Roman" w:hAnsi="Times New Roman" w:eastAsia="仿宋_GB2312" w:cs="仿宋_GB2312"/>
          <w:color w:val="000000"/>
          <w:sz w:val="32"/>
          <w:szCs w:val="32"/>
        </w:rPr>
        <w:t>中的</w:t>
      </w:r>
      <w:r>
        <w:rPr>
          <w:rFonts w:hint="eastAsia" w:ascii="Times New Roman" w:hAnsi="Times New Roman" w:eastAsia="仿宋" w:cs="仿宋"/>
          <w:color w:val="000000"/>
          <w:sz w:val="32"/>
          <w:szCs w:val="32"/>
        </w:rPr>
        <w:t>“近三年平均增速”指以</w:t>
      </w:r>
      <w:r>
        <w:rPr>
          <w:rFonts w:hint="eastAsia" w:ascii="Times New Roman" w:hAnsi="Times New Roman" w:eastAsia="仿宋" w:cs="仿宋"/>
          <w:color w:val="000000"/>
          <w:sz w:val="32"/>
          <w:szCs w:val="32"/>
          <w:highlight w:val="none"/>
        </w:rPr>
        <w:t>20</w:t>
      </w:r>
      <w:r>
        <w:rPr>
          <w:rFonts w:hint="eastAsia" w:eastAsia="仿宋" w:cs="仿宋"/>
          <w:color w:val="000000"/>
          <w:sz w:val="32"/>
          <w:szCs w:val="32"/>
          <w:highlight w:val="none"/>
          <w:lang w:val="en-US" w:eastAsia="zh-CN"/>
        </w:rPr>
        <w:t>20</w:t>
      </w:r>
      <w:r>
        <w:rPr>
          <w:rFonts w:hint="eastAsia" w:ascii="Times New Roman" w:hAnsi="Times New Roman" w:eastAsia="仿宋" w:cs="仿宋"/>
          <w:color w:val="000000"/>
          <w:sz w:val="32"/>
          <w:szCs w:val="32"/>
          <w:highlight w:val="none"/>
        </w:rPr>
        <w:t>年为基期，2</w:t>
      </w:r>
      <w:r>
        <w:rPr>
          <w:rFonts w:ascii="Times New Roman" w:hAnsi="Times New Roman" w:eastAsia="仿宋" w:cs="仿宋"/>
          <w:color w:val="000000"/>
          <w:sz w:val="32"/>
          <w:szCs w:val="32"/>
          <w:highlight w:val="none"/>
        </w:rPr>
        <w:t>0</w:t>
      </w:r>
      <w:r>
        <w:rPr>
          <w:rFonts w:hint="eastAsia" w:ascii="Times New Roman" w:hAnsi="Times New Roman" w:eastAsia="仿宋" w:cs="仿宋"/>
          <w:color w:val="000000"/>
          <w:sz w:val="32"/>
          <w:szCs w:val="32"/>
          <w:highlight w:val="none"/>
          <w:lang w:val="en-US" w:eastAsia="zh-CN"/>
        </w:rPr>
        <w:t>2</w:t>
      </w:r>
      <w:r>
        <w:rPr>
          <w:rFonts w:hint="eastAsia" w:eastAsia="仿宋" w:cs="仿宋"/>
          <w:color w:val="000000"/>
          <w:sz w:val="32"/>
          <w:szCs w:val="32"/>
          <w:highlight w:val="none"/>
          <w:lang w:val="en-US" w:eastAsia="zh-CN"/>
        </w:rPr>
        <w:t>1</w:t>
      </w:r>
      <w:r>
        <w:rPr>
          <w:rFonts w:ascii="Times New Roman" w:hAnsi="Times New Roman" w:eastAsia="仿宋" w:cs="仿宋"/>
          <w:color w:val="000000"/>
          <w:sz w:val="32"/>
          <w:szCs w:val="32"/>
          <w:highlight w:val="none"/>
        </w:rPr>
        <w:t>—202</w:t>
      </w:r>
      <w:r>
        <w:rPr>
          <w:rFonts w:hint="eastAsia" w:eastAsia="仿宋" w:cs="仿宋"/>
          <w:color w:val="000000"/>
          <w:sz w:val="32"/>
          <w:szCs w:val="32"/>
          <w:highlight w:val="none"/>
          <w:lang w:val="en-US" w:eastAsia="zh-CN"/>
        </w:rPr>
        <w:t>3</w:t>
      </w:r>
      <w:r>
        <w:rPr>
          <w:rFonts w:hint="eastAsia" w:ascii="Times New Roman" w:hAnsi="Times New Roman" w:eastAsia="仿宋" w:cs="仿宋"/>
          <w:color w:val="000000"/>
          <w:sz w:val="32"/>
          <w:szCs w:val="32"/>
          <w:highlight w:val="none"/>
        </w:rPr>
        <w:t>年的年均增长率</w:t>
      </w:r>
      <m:oMath>
        <m:r>
          <m:rPr/>
          <w:rPr>
            <w:rFonts w:ascii="Cambria Math" w:hAnsi="Cambria Math" w:eastAsia="仿宋" w:cs="Cambria Math"/>
            <w:color w:val="000000" w:themeColor="text1"/>
            <w:sz w:val="32"/>
            <w:szCs w:val="32"/>
            <w:highlight w:val="none"/>
          </w:rPr>
          <m:t>α</m:t>
        </m:r>
      </m:oMath>
      <w:r>
        <w:rPr>
          <w:rFonts w:hint="eastAsia" w:ascii="Times New Roman" w:hAnsi="Times New Roman" w:eastAsia="仿宋" w:cs="仿宋"/>
          <w:color w:val="000000"/>
          <w:sz w:val="32"/>
          <w:szCs w:val="32"/>
          <w:highlight w:val="none"/>
        </w:rPr>
        <w:t>，基期20</w:t>
      </w:r>
      <w:r>
        <w:rPr>
          <w:rFonts w:hint="eastAsia" w:eastAsia="仿宋" w:cs="仿宋"/>
          <w:color w:val="000000"/>
          <w:sz w:val="32"/>
          <w:szCs w:val="32"/>
          <w:highlight w:val="none"/>
          <w:lang w:eastAsia="zh-CN"/>
        </w:rPr>
        <w:t>2</w:t>
      </w:r>
      <w:r>
        <w:rPr>
          <w:rFonts w:hint="eastAsia" w:eastAsia="仿宋" w:cs="仿宋"/>
          <w:color w:val="000000"/>
          <w:sz w:val="32"/>
          <w:szCs w:val="32"/>
          <w:highlight w:val="none"/>
          <w:lang w:val="en-US" w:eastAsia="zh-CN"/>
        </w:rPr>
        <w:t>0</w:t>
      </w:r>
      <w:r>
        <w:rPr>
          <w:rFonts w:hint="eastAsia" w:ascii="Times New Roman" w:hAnsi="Times New Roman" w:eastAsia="仿宋" w:cs="仿宋"/>
          <w:color w:val="000000"/>
          <w:sz w:val="32"/>
          <w:szCs w:val="32"/>
          <w:highlight w:val="none"/>
        </w:rPr>
        <w:t>年的数据为</w:t>
      </w:r>
      <m:oMath>
        <m:sSub>
          <m:sSubPr>
            <m:ctrlPr>
              <w:rPr>
                <w:rFonts w:ascii="Cambria Math" w:hAnsi="Cambria Math" w:cs="仿宋"/>
                <w:i/>
                <w:color w:val="000000"/>
                <w:sz w:val="32"/>
                <w:szCs w:val="32"/>
                <w:highlight w:val="none"/>
              </w:rPr>
            </m:ctrlPr>
          </m:sSubPr>
          <m:e>
            <m:r>
              <m:rPr/>
              <w:rPr>
                <w:rFonts w:ascii="Cambria Math" w:hAnsi="Cambria Math" w:cs="仿宋"/>
                <w:color w:val="000000"/>
                <w:sz w:val="32"/>
                <w:szCs w:val="32"/>
                <w:highlight w:val="none"/>
              </w:rPr>
              <m:t>x</m:t>
            </m:r>
            <m:ctrlPr>
              <w:rPr>
                <w:rFonts w:ascii="Cambria Math" w:hAnsi="Cambria Math" w:cs="仿宋"/>
                <w:i/>
                <w:color w:val="000000"/>
                <w:sz w:val="32"/>
                <w:szCs w:val="32"/>
                <w:highlight w:val="none"/>
              </w:rPr>
            </m:ctrlPr>
          </m:e>
          <m:sub>
            <m:r>
              <m:rPr/>
              <w:rPr>
                <w:rFonts w:ascii="Cambria Math" w:hAnsi="Cambria Math" w:cs="仿宋"/>
                <w:color w:val="000000"/>
                <w:sz w:val="32"/>
                <w:szCs w:val="32"/>
                <w:highlight w:val="none"/>
              </w:rPr>
              <m:t>20</m:t>
            </m:r>
            <m:r>
              <m:rPr/>
              <w:rPr>
                <w:rFonts w:hint="default" w:ascii="Cambria Math" w:hAnsi="Cambria Math" w:cs="仿宋"/>
                <w:color w:val="000000"/>
                <w:sz w:val="32"/>
                <w:szCs w:val="32"/>
                <w:highlight w:val="none"/>
                <w:lang w:eastAsia="zh-CN"/>
              </w:rPr>
              <m:t>2</m:t>
            </m:r>
            <m:r>
              <m:rPr/>
              <w:rPr>
                <w:rFonts w:hint="default" w:ascii="Cambria Math" w:hAnsi="Cambria Math" w:cs="仿宋"/>
                <w:color w:val="000000"/>
                <w:sz w:val="32"/>
                <w:szCs w:val="32"/>
                <w:highlight w:val="none"/>
                <w:lang w:val="en-US" w:eastAsia="zh-CN"/>
              </w:rPr>
              <m:t>0</m:t>
            </m:r>
            <m:ctrlPr>
              <w:rPr>
                <w:rFonts w:ascii="Cambria Math" w:hAnsi="Cambria Math" w:cs="仿宋"/>
                <w:i/>
                <w:color w:val="000000"/>
                <w:sz w:val="32"/>
                <w:szCs w:val="32"/>
                <w:highlight w:val="none"/>
              </w:rPr>
            </m:ctrlPr>
          </m:sub>
        </m:sSub>
      </m:oMath>
      <w:r>
        <w:rPr>
          <w:rFonts w:hint="eastAsia" w:ascii="Times New Roman" w:hAnsi="Times New Roman" w:eastAsia="仿宋" w:cs="仿宋"/>
          <w:color w:val="000000"/>
          <w:sz w:val="32"/>
          <w:szCs w:val="32"/>
          <w:highlight w:val="none"/>
        </w:rPr>
        <w:t>，</w:t>
      </w:r>
      <w:r>
        <w:rPr>
          <w:rFonts w:ascii="Times New Roman" w:hAnsi="Times New Roman" w:eastAsia="仿宋" w:cs="仿宋"/>
          <w:color w:val="000000"/>
          <w:sz w:val="32"/>
          <w:szCs w:val="32"/>
          <w:highlight w:val="none"/>
        </w:rPr>
        <w:t>202</w:t>
      </w:r>
      <w:r>
        <w:rPr>
          <w:rFonts w:hint="eastAsia" w:eastAsia="仿宋" w:cs="仿宋"/>
          <w:color w:val="000000"/>
          <w:sz w:val="32"/>
          <w:szCs w:val="32"/>
          <w:highlight w:val="none"/>
          <w:lang w:val="en-US" w:eastAsia="zh-CN"/>
        </w:rPr>
        <w:t>3</w:t>
      </w:r>
      <w:r>
        <w:rPr>
          <w:rFonts w:hint="eastAsia" w:hAnsi="Times New Roman" w:eastAsia="仿宋" w:cs="Cambria Math"/>
          <w:color w:val="000000"/>
          <w:sz w:val="32"/>
          <w:szCs w:val="32"/>
          <w:highlight w:val="none"/>
        </w:rPr>
        <w:t>年的数据为</w:t>
      </w:r>
      <m:oMath>
        <m:sSub>
          <m:sSubPr>
            <m:ctrlPr>
              <w:rPr>
                <w:rFonts w:ascii="Cambria Math" w:hAnsi="Cambria Math" w:cs="仿宋"/>
                <w:i/>
                <w:color w:val="000000"/>
                <w:sz w:val="32"/>
                <w:szCs w:val="32"/>
                <w:highlight w:val="none"/>
              </w:rPr>
            </m:ctrlPr>
          </m:sSubPr>
          <m:e>
            <m:r>
              <m:rPr/>
              <w:rPr>
                <w:rFonts w:ascii="Cambria Math" w:hAnsi="Cambria Math" w:cs="仿宋"/>
                <w:color w:val="000000"/>
                <w:sz w:val="32"/>
                <w:szCs w:val="32"/>
                <w:highlight w:val="none"/>
              </w:rPr>
              <m:t>x</m:t>
            </m:r>
            <m:ctrlPr>
              <w:rPr>
                <w:rFonts w:ascii="Cambria Math" w:hAnsi="Cambria Math" w:cs="仿宋"/>
                <w:i/>
                <w:color w:val="000000"/>
                <w:sz w:val="32"/>
                <w:szCs w:val="32"/>
                <w:highlight w:val="none"/>
              </w:rPr>
            </m:ctrlPr>
          </m:e>
          <m:sub>
            <m:r>
              <m:rPr/>
              <w:rPr>
                <w:rFonts w:ascii="Cambria Math" w:hAnsi="Cambria Math" w:cs="仿宋"/>
                <w:color w:val="000000"/>
                <w:sz w:val="32"/>
                <w:szCs w:val="32"/>
                <w:highlight w:val="none"/>
              </w:rPr>
              <m:t>202</m:t>
            </m:r>
            <m:r>
              <m:rPr/>
              <w:rPr>
                <w:rFonts w:hint="default" w:ascii="Cambria Math" w:hAnsi="Cambria Math" w:cs="仿宋"/>
                <w:color w:val="000000"/>
                <w:sz w:val="32"/>
                <w:szCs w:val="32"/>
                <w:highlight w:val="none"/>
                <w:lang w:val="en-US" w:eastAsia="zh-CN"/>
              </w:rPr>
              <m:t>3</m:t>
            </m:r>
            <m:ctrlPr>
              <w:rPr>
                <w:rFonts w:ascii="Cambria Math" w:hAnsi="Cambria Math" w:cs="仿宋"/>
                <w:i/>
                <w:color w:val="000000"/>
                <w:sz w:val="32"/>
                <w:szCs w:val="32"/>
                <w:highlight w:val="none"/>
              </w:rPr>
            </m:ctrlPr>
          </m:sub>
        </m:sSub>
      </m:oMath>
      <w:r>
        <w:rPr>
          <w:rFonts w:hAnsi="Times New Roman" w:eastAsia="仿宋" w:cs="Cambria Math"/>
          <w:color w:val="000000"/>
          <w:sz w:val="32"/>
          <w:szCs w:val="32"/>
          <w:highlight w:val="none"/>
        </w:rPr>
        <w:fldChar w:fldCharType="begin"/>
      </w:r>
      <w:r>
        <w:rPr>
          <w:rFonts w:hAnsi="Times New Roman" w:eastAsia="仿宋" w:cs="Cambria Math"/>
          <w:color w:val="000000"/>
          <w:sz w:val="32"/>
          <w:szCs w:val="32"/>
          <w:highlight w:val="none"/>
        </w:rPr>
        <w:instrText xml:space="preserve"> QUOTE </w:instrText>
      </w:r>
      <w:r>
        <w:rPr>
          <w:position w:val="-18"/>
          <w:sz w:val="32"/>
          <w:szCs w:val="32"/>
          <w:highlight w:val="none"/>
        </w:rPr>
        <w:pict>
          <v:shape id="_x0000_i1025" o:spt="75" type="#_x0000_t75" style="height:31pt;width:35.5pt;" filled="f" o:preferrelative="t" stroked="f" coordsize="21600,21600"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commondata&quot; w:val=&quot;eyJoZGlkIjoiZjJiMzQ2ZGQyNGFlNjM1NzRiODhkZjBiYTBhZjNhMjYifQ==&quot;/&gt;&lt;/w:docVars&gt;&lt;wsp:rsids&gt;&lt;wsp:rsidRoot wsp:val=&quot;00241A3E&quot;/&gt;&lt;wsp:rsid wsp:val=&quot;00181613&quot;/&gt;&lt;wsp:rsid wsp:val=&quot;001A065B&quot;/&gt;&lt;wsp:rsid wsp:val=&quot;00241A3E&quot;/&gt;&lt;wsp:rsid wsp:val=&quot;003023D3&quot;/&gt;&lt;wsp:rsid wsp:val=&quot;0032064B&quot;/&gt;&lt;wsp:rsid wsp:val=&quot;003B79A2&quot;/&gt;&lt;wsp:rsid wsp:val=&quot;00446096&quot;/&gt;&lt;wsp:rsid wsp:val=&quot;005300C2&quot;/&gt;&lt;wsp:rsid wsp:val=&quot;00536F5A&quot;/&gt;&lt;wsp:rsid wsp:val=&quot;00552456&quot;/&gt;&lt;wsp:rsid wsp:val=&quot;005A34E2&quot;/&gt;&lt;wsp:rsid wsp:val=&quot;0072400C&quot;/&gt;&lt;wsp:rsid wsp:val=&quot;007E210E&quot;/&gt;&lt;wsp:rsid wsp:val=&quot;007E5CC9&quot;/&gt;&lt;wsp:rsid wsp:val=&quot;008B2FE4&quot;/&gt;&lt;wsp:rsid wsp:val=&quot;00906876&quot;/&gt;&lt;wsp:rsid wsp:val=&quot;009B5906&quot;/&gt;&lt;wsp:rsid wsp:val=&quot;00A0236B&quot;/&gt;&lt;wsp:rsid wsp:val=&quot;00A06200&quot;/&gt;&lt;wsp:rsid wsp:val=&quot;00A66CE1&quot;/&gt;&lt;wsp:rsid wsp:val=&quot;00B375B5&quot;/&gt;&lt;wsp:rsid wsp:val=&quot;00C01D54&quot;/&gt;&lt;wsp:rsid wsp:val=&quot;00C21500&quot;/&gt;&lt;wsp:rsid wsp:val=&quot;00C256EE&quot;/&gt;&lt;wsp:rsid wsp:val=&quot;00C35EAB&quot;/&gt;&lt;wsp:rsid wsp:val=&quot;00D350FA&quot;/&gt;&lt;wsp:rsid wsp:val=&quot;00D44F1F&quot;/&gt;&lt;wsp:rsid wsp:val=&quot;00D67FBE&quot;/&gt;&lt;wsp:rsid wsp:val=&quot;00D7426A&quot;/&gt;&lt;wsp:rsid wsp:val=&quot;00DF477D&quot;/&gt;&lt;wsp:rsid wsp:val=&quot;00E97607&quot;/&gt;&lt;wsp:rsid wsp:val=&quot;00EB4563&quot;/&gt;&lt;wsp:rsid wsp:val=&quot;00ED2583&quot;/&gt;&lt;wsp:rsid wsp:val=&quot;00F46D00&quot;/&gt;&lt;wsp:rsid wsp:val=&quot;00FD04AF&quot;/&gt;&lt;wsp:rsid wsp:val=&quot;035E5665&quot;/&gt;&lt;wsp:rsid wsp:val=&quot;04D81E9B&quot;/&gt;&lt;wsp:rsid wsp:val=&quot;073076AE&quot;/&gt;&lt;wsp:rsid wsp:val=&quot;08242330&quot;/&gt;&lt;wsp:rsid wsp:val=&quot;0B2563A1&quot;/&gt;&lt;wsp:rsid wsp:val=&quot;0FDA0C46&quot;/&gt;&lt;wsp:rsid wsp:val=&quot;1BCE1B4C&quot;/&gt;&lt;wsp:rsid wsp:val=&quot;21021DE1&quot;/&gt;&lt;wsp:rsid wsp:val=&quot;220E51FE&quot;/&gt;&lt;wsp:rsid wsp:val=&quot;2C7D567F&quot;/&gt;&lt;wsp:rsid wsp:val=&quot;356E0EDA&quot;/&gt;&lt;wsp:rsid wsp:val=&quot;43834C1D&quot;/&gt;&lt;wsp:rsid wsp:val=&quot;4F8A6BCC&quot;/&gt;&lt;wsp:rsid wsp:val=&quot;51EC09C3&quot;/&gt;&lt;wsp:rsid wsp:val=&quot;55B50E3C&quot;/&gt;&lt;wsp:rsid wsp:val=&quot;55C92435&quot;/&gt;&lt;wsp:rsid wsp:val=&quot;5B6C6031&quot;/&gt;&lt;wsp:rsid wsp:val=&quot;5BD75206&quot;/&gt;&lt;wsp:rsid wsp:val=&quot;5C320DAC&quot;/&gt;&lt;wsp:rsid wsp:val=&quot;5E952C81&quot;/&gt;&lt;wsp:rsid wsp:val=&quot;612B0BE1&quot;/&gt;&lt;wsp:rsid wsp:val=&quot;64CA5C81&quot;/&gt;&lt;wsp:rsid wsp:val=&quot;6DF76EC8&quot;/&gt;&lt;wsp:rsid wsp:val=&quot;72122D17&quot;/&gt;&lt;wsp:rsid wsp:val=&quot;743323EE&quot;/&gt;&lt;wsp:rsid wsp:val=&quot;79BB4703&quot;/&gt;&lt;wsp:rsid wsp:val=&quot;79BF6049&quot;/&gt;&lt;wsp:rsid wsp:val=&quot;7BAC154D&quot;/&gt;&lt;/wsp:rsids&gt;&lt;/w:docPr&gt;&lt;w:body&gt;&lt;w:p wsp:rsidR=&quot;00000000&quot; wsp:rsidRDefault=&quot;003B79A2&quot;&gt;&lt;m:oMathPara&gt;&lt;m:oMath&gt;&lt;m:sSub&gt;&lt;m:sSubPr&gt;&lt;m:ctrlPr&gt;&lt;aml:annotation aml:id=&quot;0&quot; w:type=&quot;Word.Insertion&quot; aml:author=&quot;万物自然&quot; aml:createdate=&quot;2022-05-26T13:39:00Z&quot;&gt;&lt;aml:content&gt;&lt;w:rPr&gt;&lt;w:rFonts w:ascii=&quot;Cambria Math&quot; w:fareast=&quot;仿宋&quot; w:h-ansi=&quot;Cambria Math&quot; w:cs=&quot;Cambria Math&quot;/&gt;&lt;wx:font wx:val=&quot;Cambria Math&quot;/&gt;&lt;w:i/&gt;&lt;w:color w:val=&quot;000000&quot;/&gt;&lt;w:sz w:val=&quot;32&quot;/&gt;&lt;w:sz-cl:auths w:val=&quot;32&quot;/&gt;&lt;/w:rPr&gt;&lt;/aml:content&gt;&lt;/aml:annotation&gt;&lt;/m:ctrlPr&gt;&lt;/m:sSubPr&gt;&lt;m:e&gt;&lt;aml:annotation aml:id=&quot;1&quot; w:type=&quot;Word.Insertion&quot; aml:author=&quot;万物自然&quot; aml:createdate=&quot;2022-05-26T13:39:00Z&quot;&gt;&lt;aml:content&gt;&lt;m:r&gt;&lt;w:rPr&gt;&lt;w:rFonts w:ascii=&quot;Cambria Math&quot; w:fareauthast=&quot;仿宋&quot; w:h-ansi=&quot;Cambria Math&quot; w:cs=&quot;Cambria Math&quot;/&gt;&lt;wx:font wx:val=&quot;Cambria Math&quot;/&gt;&lt;w:i/&gt;&lt;w:color w:val=&quot;000000&quot;/&gt;&lt;w:sz w:val=&quot;32&quot;/&gt;&lt;w:sz-cs w:val=&quot;32&quot;/&gt;&lt;/w:rPr&gt;&lt;m:t&gt;x&lt;/m:t&gt;&lt;/m:r&gt;&lt;/aml:content&gt;&lt;/aml:annotation&gt;&lt;/m:e&gt;&lt;m:sub&gt;&lt;aml:annotation aml:id=&quot;2&quot; thw:type=&quot;Word.Insertion&quot; aml:author=&quot;万物自然&quot; aml:createdate=&quot;2022-05-26T13:39:00Z&quot;&gt;&lt;aml:content&gt;&lt;m:r&gt;&lt;w:rPr&gt;&lt;w:rFonts w:ascii=&quot;Cambria Math&quot; w:fareast=&quot;仿宋&quot; w:h-ansi=&quot;Cambria Math&quot; w:cs=&quot;Cambria Math&quot;/&gt;&lt;wx:font wx:val=&quot;Cambria Math&quot;/&gt;&lt;w:i/&gt;&lt;w:color w:va&quot;2&quot; thl=&quot;000000&quot;/&gt;&lt;w:sz w:val=&quot;32&quot;/&gt;&lt;w:sz-cs w:val=&quot;32&quot;/&gt;&lt;/w:rPr&gt;&lt;m:t&gt;2021&lt;/m:t&gt;&lt;/m:r&gt;&lt;/aml:content&gt;&lt;/aml:annotation&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5" chromakey="#FFFFFF" o:title=""/>
            <o:lock v:ext="edit" aspectratio="t"/>
            <w10:wrap type="none"/>
            <w10:anchorlock/>
          </v:shape>
        </w:pict>
      </w:r>
      <w:r>
        <w:rPr>
          <w:rFonts w:hAnsi="Times New Roman" w:eastAsia="仿宋" w:cs="Cambria Math"/>
          <w:color w:val="000000"/>
          <w:sz w:val="32"/>
          <w:szCs w:val="32"/>
          <w:highlight w:val="none"/>
        </w:rPr>
        <w:instrText xml:space="preserve"> </w:instrText>
      </w:r>
      <w:r>
        <w:rPr>
          <w:rFonts w:hAnsi="Times New Roman" w:eastAsia="仿宋" w:cs="Cambria Math"/>
          <w:color w:val="000000"/>
          <w:sz w:val="32"/>
          <w:szCs w:val="32"/>
          <w:highlight w:val="none"/>
        </w:rPr>
        <w:fldChar w:fldCharType="end"/>
      </w:r>
      <w:r>
        <w:rPr>
          <w:rFonts w:hint="eastAsia" w:hAnsi="Times New Roman" w:eastAsia="仿宋" w:cs="Cambria Math"/>
          <w:color w:val="000000"/>
          <w:sz w:val="32"/>
          <w:szCs w:val="32"/>
          <w:highlight w:val="none"/>
        </w:rPr>
        <w:t>，</w:t>
      </w:r>
      <w:r>
        <w:rPr>
          <w:rFonts w:hint="default" w:ascii="Times New Roman" w:hAnsi="Times New Roman" w:eastAsia="仿宋_GB2312" w:cs="Times New Roman"/>
          <w:color w:val="000000" w:themeColor="text1"/>
          <w:sz w:val="32"/>
          <w:szCs w:val="32"/>
          <w:highlight w:val="none"/>
          <w:lang w:val="en-US" w:eastAsia="zh-CN"/>
        </w:rPr>
        <w:t>计算公式：：</w:t>
      </w:r>
      <m:oMath>
        <m:r>
          <m:rPr/>
          <w:rPr>
            <w:rFonts w:hint="default" w:ascii="Cambria Math" w:hAnsi="Cambria Math" w:eastAsia="仿宋_GB2312" w:cs="Times New Roman"/>
            <w:color w:val="000000" w:themeColor="text1"/>
            <w:sz w:val="32"/>
            <w:szCs w:val="32"/>
            <w:highlight w:val="none"/>
          </w:rPr>
          <m:t>α</m:t>
        </m:r>
        <m:r>
          <m:rPr/>
          <w:rPr>
            <w:rFonts w:hint="default" w:ascii="Cambria Math" w:hAnsi="Cambria Math" w:eastAsia="仿宋_GB2312" w:cs="Times New Roman"/>
            <w:color w:val="000000" w:themeColor="text1"/>
            <w:sz w:val="32"/>
            <w:szCs w:val="32"/>
            <w:highlight w:val="none"/>
            <w:lang w:val="en-US" w:eastAsia="zh-CN"/>
          </w:rPr>
          <m:t>=(</m:t>
        </m:r>
        <m:rad>
          <m:radPr>
            <m:ctrlPr>
              <w:rPr>
                <w:rFonts w:hint="default" w:ascii="Cambria Math" w:hAnsi="Cambria Math" w:eastAsia="仿宋_GB2312" w:cs="Times New Roman"/>
                <w:i/>
                <w:color w:val="000000" w:themeColor="text1"/>
                <w:sz w:val="32"/>
                <w:szCs w:val="32"/>
                <w:highlight w:val="none"/>
                <w:lang w:val="en-US"/>
              </w:rPr>
            </m:ctrlPr>
          </m:radPr>
          <m:deg>
            <m:r>
              <m:rPr/>
              <w:rPr>
                <w:rFonts w:hint="default" w:ascii="Cambria Math" w:hAnsi="Cambria Math" w:eastAsia="仿宋_GB2312" w:cs="Times New Roman"/>
                <w:color w:val="000000" w:themeColor="text1"/>
                <w:sz w:val="32"/>
                <w:szCs w:val="32"/>
                <w:highlight w:val="none"/>
                <w:lang w:val="en-US"/>
              </w:rPr>
              <m:t>3</m:t>
            </m:r>
            <m:ctrlPr>
              <w:rPr>
                <w:rFonts w:hint="default" w:ascii="Cambria Math" w:hAnsi="Cambria Math" w:eastAsia="仿宋_GB2312" w:cs="Times New Roman"/>
                <w:i/>
                <w:color w:val="000000" w:themeColor="text1"/>
                <w:sz w:val="32"/>
                <w:szCs w:val="32"/>
                <w:highlight w:val="none"/>
                <w:lang w:val="en-US"/>
              </w:rPr>
            </m:ctrlPr>
          </m:deg>
          <m:e>
            <m:f>
              <m:fPr>
                <m:type m:val="skw"/>
                <m:ctrlPr>
                  <w:rPr>
                    <w:rFonts w:hint="default" w:ascii="Cambria Math" w:hAnsi="Cambria Math" w:eastAsia="仿宋_GB2312" w:cs="Times New Roman"/>
                    <w:i/>
                    <w:color w:val="000000" w:themeColor="text1"/>
                    <w:sz w:val="32"/>
                    <w:szCs w:val="32"/>
                    <w:highlight w:val="none"/>
                  </w:rPr>
                </m:ctrlPr>
              </m:fPr>
              <m:num>
                <m:sSub>
                  <m:sSubPr>
                    <m:ctrlPr>
                      <w:rPr>
                        <w:rFonts w:hint="default" w:ascii="Cambria Math" w:hAnsi="Cambria Math" w:eastAsia="仿宋_GB2312" w:cs="Times New Roman"/>
                        <w:i/>
                        <w:color w:val="000000" w:themeColor="text1"/>
                        <w:sz w:val="32"/>
                        <w:szCs w:val="32"/>
                        <w:highlight w:val="none"/>
                      </w:rPr>
                    </m:ctrlPr>
                  </m:sSubPr>
                  <m:e>
                    <m:r>
                      <m:rPr/>
                      <w:rPr>
                        <w:rFonts w:hint="default" w:ascii="Cambria Math" w:hAnsi="Cambria Math" w:eastAsia="仿宋_GB2312" w:cs="Times New Roman"/>
                        <w:color w:val="000000" w:themeColor="text1"/>
                        <w:sz w:val="32"/>
                        <w:szCs w:val="32"/>
                        <w:highlight w:val="none"/>
                      </w:rPr>
                      <m:t>x</m:t>
                    </m:r>
                    <m:ctrlPr>
                      <w:rPr>
                        <w:rFonts w:hint="default" w:ascii="Cambria Math" w:hAnsi="Cambria Math" w:eastAsia="仿宋_GB2312" w:cs="Times New Roman"/>
                        <w:i/>
                        <w:color w:val="000000" w:themeColor="text1"/>
                        <w:sz w:val="32"/>
                        <w:szCs w:val="32"/>
                        <w:highlight w:val="none"/>
                      </w:rPr>
                    </m:ctrlPr>
                  </m:e>
                  <m:sub>
                    <m:r>
                      <m:rPr/>
                      <w:rPr>
                        <w:rFonts w:hint="default" w:ascii="Cambria Math" w:hAnsi="Cambria Math" w:eastAsia="仿宋_GB2312" w:cs="Times New Roman"/>
                        <w:color w:val="000000" w:themeColor="text1"/>
                        <w:sz w:val="32"/>
                        <w:szCs w:val="32"/>
                        <w:highlight w:val="none"/>
                      </w:rPr>
                      <m:t>202</m:t>
                    </m:r>
                    <m:r>
                      <m:rPr/>
                      <w:rPr>
                        <w:rFonts w:hint="default" w:ascii="Cambria Math" w:hAnsi="Cambria Math" w:eastAsia="仿宋_GB2312" w:cs="Times New Roman"/>
                        <w:color w:val="000000" w:themeColor="text1"/>
                        <w:sz w:val="32"/>
                        <w:szCs w:val="32"/>
                        <w:highlight w:val="none"/>
                        <w:lang w:val="en-US" w:eastAsia="zh-CN"/>
                      </w:rPr>
                      <m:t>3</m:t>
                    </m:r>
                    <m:ctrlPr>
                      <w:rPr>
                        <w:rFonts w:hint="default" w:ascii="Cambria Math" w:hAnsi="Cambria Math" w:eastAsia="仿宋_GB2312" w:cs="Times New Roman"/>
                        <w:i/>
                        <w:color w:val="000000" w:themeColor="text1"/>
                        <w:sz w:val="32"/>
                        <w:szCs w:val="32"/>
                        <w:highlight w:val="none"/>
                      </w:rPr>
                    </m:ctrlPr>
                  </m:sub>
                </m:sSub>
                <m:ctrlPr>
                  <w:rPr>
                    <w:rFonts w:hint="default" w:ascii="Cambria Math" w:hAnsi="Cambria Math" w:eastAsia="仿宋_GB2312" w:cs="Times New Roman"/>
                    <w:i/>
                    <w:color w:val="000000" w:themeColor="text1"/>
                    <w:sz w:val="32"/>
                    <w:szCs w:val="32"/>
                    <w:highlight w:val="none"/>
                  </w:rPr>
                </m:ctrlPr>
              </m:num>
              <m:den>
                <m:sSub>
                  <m:sSubPr>
                    <m:ctrlPr>
                      <w:rPr>
                        <w:rFonts w:hint="default" w:ascii="Cambria Math" w:hAnsi="Cambria Math" w:eastAsia="仿宋_GB2312" w:cs="Times New Roman"/>
                        <w:i/>
                        <w:color w:val="000000" w:themeColor="text1"/>
                        <w:sz w:val="32"/>
                        <w:szCs w:val="32"/>
                        <w:highlight w:val="none"/>
                      </w:rPr>
                    </m:ctrlPr>
                  </m:sSubPr>
                  <m:e>
                    <m:r>
                      <m:rPr/>
                      <w:rPr>
                        <w:rFonts w:hint="default" w:ascii="Cambria Math" w:hAnsi="Cambria Math" w:eastAsia="仿宋_GB2312" w:cs="Times New Roman"/>
                        <w:color w:val="000000" w:themeColor="text1"/>
                        <w:sz w:val="32"/>
                        <w:szCs w:val="32"/>
                        <w:highlight w:val="none"/>
                      </w:rPr>
                      <m:t>x</m:t>
                    </m:r>
                    <m:ctrlPr>
                      <w:rPr>
                        <w:rFonts w:hint="default" w:ascii="Cambria Math" w:hAnsi="Cambria Math" w:eastAsia="仿宋_GB2312" w:cs="Times New Roman"/>
                        <w:i/>
                        <w:color w:val="000000" w:themeColor="text1"/>
                        <w:sz w:val="32"/>
                        <w:szCs w:val="32"/>
                        <w:highlight w:val="none"/>
                      </w:rPr>
                    </m:ctrlPr>
                  </m:e>
                  <m:sub>
                    <m:r>
                      <m:rPr/>
                      <w:rPr>
                        <w:rFonts w:hint="default" w:ascii="Cambria Math" w:hAnsi="Cambria Math" w:eastAsia="仿宋_GB2312" w:cs="Times New Roman"/>
                        <w:color w:val="000000" w:themeColor="text1"/>
                        <w:sz w:val="32"/>
                        <w:szCs w:val="32"/>
                        <w:highlight w:val="none"/>
                      </w:rPr>
                      <m:t>20</m:t>
                    </m:r>
                    <m:r>
                      <m:rPr/>
                      <w:rPr>
                        <w:rFonts w:hint="default" w:ascii="Cambria Math" w:hAnsi="Cambria Math" w:eastAsia="仿宋_GB2312" w:cs="Times New Roman"/>
                        <w:color w:val="000000" w:themeColor="text1"/>
                        <w:sz w:val="32"/>
                        <w:szCs w:val="32"/>
                        <w:highlight w:val="none"/>
                        <w:lang w:eastAsia="zh-CN"/>
                      </w:rPr>
                      <m:t>2</m:t>
                    </m:r>
                    <m:r>
                      <m:rPr/>
                      <w:rPr>
                        <w:rFonts w:hint="default" w:ascii="Cambria Math" w:hAnsi="Cambria Math" w:eastAsia="仿宋_GB2312" w:cs="Times New Roman"/>
                        <w:color w:val="000000" w:themeColor="text1"/>
                        <w:sz w:val="32"/>
                        <w:szCs w:val="32"/>
                        <w:highlight w:val="none"/>
                        <w:lang w:val="en-US" w:eastAsia="zh-CN"/>
                      </w:rPr>
                      <m:t>0</m:t>
                    </m:r>
                    <m:ctrlPr>
                      <w:rPr>
                        <w:rFonts w:hint="default" w:ascii="Cambria Math" w:hAnsi="Cambria Math" w:eastAsia="仿宋_GB2312" w:cs="Times New Roman"/>
                        <w:i/>
                        <w:color w:val="000000" w:themeColor="text1"/>
                        <w:sz w:val="32"/>
                        <w:szCs w:val="32"/>
                        <w:highlight w:val="none"/>
                      </w:rPr>
                    </m:ctrlPr>
                  </m:sub>
                </m:sSub>
                <m:ctrlPr>
                  <w:rPr>
                    <w:rFonts w:hint="default" w:ascii="Cambria Math" w:hAnsi="Cambria Math" w:eastAsia="仿宋_GB2312" w:cs="Times New Roman"/>
                    <w:i/>
                    <w:color w:val="000000" w:themeColor="text1"/>
                    <w:sz w:val="32"/>
                    <w:szCs w:val="32"/>
                    <w:highlight w:val="none"/>
                  </w:rPr>
                </m:ctrlPr>
              </m:den>
            </m:f>
            <m:ctrlPr>
              <w:rPr>
                <w:rFonts w:hint="default" w:ascii="Cambria Math" w:hAnsi="Cambria Math" w:eastAsia="仿宋_GB2312" w:cs="Times New Roman"/>
                <w:i/>
                <w:color w:val="000000" w:themeColor="text1"/>
                <w:sz w:val="32"/>
                <w:szCs w:val="32"/>
                <w:highlight w:val="none"/>
                <w:lang w:val="en-US"/>
              </w:rPr>
            </m:ctrlPr>
          </m:e>
        </m:rad>
      </m:oMath>
      <w:r>
        <w:rPr>
          <w:rFonts w:hint="default" w:ascii="Times New Roman" w:hAnsi="Times New Roman" w:eastAsia="仿宋_GB2312" w:cs="Times New Roman"/>
          <w:i w:val="0"/>
          <w:color w:val="000000" w:themeColor="text1"/>
          <w:sz w:val="32"/>
          <w:szCs w:val="32"/>
          <w:highlight w:val="none"/>
        </w:rPr>
        <w:t>－</w:t>
      </w:r>
      <w:r>
        <w:rPr>
          <w:rFonts w:hint="default" w:ascii="Times New Roman" w:hAnsi="Times New Roman" w:eastAsia="仿宋_GB2312" w:cs="Times New Roman"/>
          <w:i w:val="0"/>
          <w:color w:val="000000" w:themeColor="text1"/>
          <w:sz w:val="32"/>
          <w:szCs w:val="32"/>
          <w:highlight w:val="none"/>
          <w:lang w:val="en-US" w:eastAsia="zh-CN"/>
        </w:rPr>
        <w:t>1)×100%</w:t>
      </w:r>
      <w:r>
        <w:rPr>
          <w:rFonts w:hint="default" w:ascii="Times New Roman" w:hAnsi="Times New Roman" w:eastAsia="仿宋_GB2312" w:cs="Times New Roman"/>
          <w:i w:val="0"/>
          <w:color w:val="000000" w:themeColor="text1"/>
          <w:sz w:val="32"/>
          <w:szCs w:val="32"/>
          <w:highlight w:val="none"/>
          <w:lang w:eastAsia="zh-CN"/>
        </w:rPr>
        <w:t>；</w:t>
      </w:r>
      <w:r>
        <w:rPr>
          <w:rFonts w:hint="default" w:ascii="Times New Roman" w:hAnsi="Times New Roman" w:eastAsia="仿宋_GB2312" w:cs="Times New Roman"/>
          <w:i w:val="0"/>
          <w:color w:val="000000" w:themeColor="text1"/>
          <w:sz w:val="32"/>
          <w:szCs w:val="32"/>
          <w:highlight w:val="none"/>
          <w:lang w:val="en-US" w:eastAsia="zh-CN"/>
        </w:rPr>
        <w:t>例</w:t>
      </w:r>
      <w:r>
        <w:rPr>
          <w:rFonts w:hint="default" w:ascii="Times New Roman" w:hAnsi="Times New Roman" w:eastAsia="仿宋_GB2312" w:cs="Times New Roman"/>
          <w:color w:val="000000" w:themeColor="text1"/>
          <w:sz w:val="32"/>
          <w:szCs w:val="32"/>
          <w:highlight w:val="none"/>
          <w:lang w:val="en-US" w:eastAsia="zh-CN"/>
        </w:rPr>
        <w:t>如：</w:t>
      </w:r>
      <w:r>
        <w:rPr>
          <w:rFonts w:hint="default" w:ascii="Times New Roman" w:hAnsi="Times New Roman" w:eastAsia="仿宋_GB2312" w:cs="Times New Roman"/>
          <w:b w:val="0"/>
          <w:color w:val="000000" w:themeColor="text1"/>
          <w:sz w:val="32"/>
          <w:szCs w:val="32"/>
          <w:highlight w:val="none"/>
        </w:rPr>
        <w:t>休闲农业</w:t>
      </w:r>
      <w:r>
        <w:rPr>
          <w:rFonts w:hint="default" w:ascii="Times New Roman" w:hAnsi="Times New Roman" w:eastAsia="仿宋_GB2312" w:cs="Times New Roman"/>
          <w:b w:val="0"/>
          <w:color w:val="000000" w:themeColor="text1"/>
          <w:sz w:val="32"/>
          <w:szCs w:val="32"/>
          <w:highlight w:val="none"/>
          <w:lang w:val="en-US" w:eastAsia="zh-CN"/>
        </w:rPr>
        <w:t>营业</w:t>
      </w:r>
      <w:r>
        <w:rPr>
          <w:rFonts w:hint="default" w:ascii="Times New Roman" w:hAnsi="Times New Roman" w:eastAsia="仿宋_GB2312" w:cs="Times New Roman"/>
          <w:b w:val="0"/>
          <w:color w:val="000000" w:themeColor="text1"/>
          <w:sz w:val="32"/>
          <w:szCs w:val="32"/>
          <w:highlight w:val="none"/>
        </w:rPr>
        <w:t>收入三年平均增速</w:t>
      </w:r>
      <w:r>
        <w:rPr>
          <w:rFonts w:hint="default" w:ascii="Times New Roman" w:hAnsi="Times New Roman" w:eastAsia="仿宋_GB2312" w:cs="Times New Roman"/>
          <w:color w:val="000000" w:themeColor="text1"/>
          <w:sz w:val="32"/>
          <w:szCs w:val="32"/>
          <w:highlight w:val="none"/>
        </w:rPr>
        <w:t>=（</w:t>
      </w:r>
      <m:oMath>
        <m:rad>
          <m:radPr>
            <m:ctrlPr>
              <w:rPr>
                <w:rFonts w:hint="default" w:ascii="Cambria Math" w:hAnsi="Cambria Math" w:eastAsia="仿宋_GB2312" w:cs="Times New Roman"/>
                <w:i/>
                <w:color w:val="000000" w:themeColor="text1"/>
                <w:sz w:val="32"/>
                <w:szCs w:val="32"/>
                <w:highlight w:val="none"/>
              </w:rPr>
            </m:ctrlPr>
          </m:radPr>
          <m:deg>
            <m:r>
              <m:rPr/>
              <w:rPr>
                <w:rFonts w:hint="default" w:ascii="Cambria Math" w:hAnsi="Cambria Math" w:eastAsia="仿宋_GB2312" w:cs="Times New Roman"/>
                <w:color w:val="000000" w:themeColor="text1"/>
                <w:sz w:val="32"/>
                <w:szCs w:val="32"/>
                <w:highlight w:val="none"/>
              </w:rPr>
              <m:t>3</m:t>
            </m:r>
            <m:ctrlPr>
              <w:rPr>
                <w:rFonts w:hint="default" w:ascii="Cambria Math" w:hAnsi="Cambria Math" w:eastAsia="仿宋_GB2312" w:cs="Times New Roman"/>
                <w:i/>
                <w:color w:val="000000" w:themeColor="text1"/>
                <w:sz w:val="32"/>
                <w:szCs w:val="32"/>
                <w:highlight w:val="none"/>
              </w:rPr>
            </m:ctrlPr>
          </m:deg>
          <m:e>
            <m:r>
              <m:rPr>
                <m:sty m:val="p"/>
              </m:rPr>
              <w:rPr>
                <w:rFonts w:hint="default" w:ascii="Cambria Math" w:hAnsi="Cambria Math" w:eastAsia="仿宋_GB2312" w:cs="Times New Roman"/>
                <w:color w:val="000000" w:themeColor="text1"/>
                <w:sz w:val="32"/>
                <w:szCs w:val="32"/>
                <w:highlight w:val="none"/>
                <w:lang w:val="en-US" w:eastAsia="zh-CN"/>
              </w:rPr>
              <m:t>2023年营业收入总额/2020年营业收入总额</m:t>
            </m:r>
            <m:ctrlPr>
              <w:rPr>
                <w:rFonts w:hint="default" w:ascii="Cambria Math" w:hAnsi="Cambria Math" w:eastAsia="仿宋_GB2312" w:cs="Times New Roman"/>
                <w:i/>
                <w:color w:val="000000" w:themeColor="text1"/>
                <w:sz w:val="32"/>
                <w:szCs w:val="32"/>
                <w:highlight w:val="none"/>
              </w:rPr>
            </m:ctrlPr>
          </m:e>
        </m:rad>
      </m:oMath>
      <w:r>
        <w:rPr>
          <w:rFonts w:hint="default" w:ascii="Times New Roman" w:hAnsi="Times New Roman" w:eastAsia="仿宋_GB2312" w:cs="Times New Roman"/>
          <w:color w:val="000000" w:themeColor="text1"/>
          <w:sz w:val="32"/>
          <w:szCs w:val="32"/>
          <w:highlight w:val="none"/>
        </w:rPr>
        <w:t>－1）×100%</w:t>
      </w:r>
      <w:r>
        <w:rPr>
          <w:rFonts w:hint="default" w:ascii="Times New Roman" w:hAnsi="Times New Roman" w:eastAsia="仿宋_GB2312" w:cs="Times New Roman"/>
          <w:color w:val="000000" w:themeColor="text1"/>
          <w:sz w:val="32"/>
          <w:szCs w:val="32"/>
          <w:highlight w:val="none"/>
          <w:lang w:val="en-US" w:eastAsia="zh-CN"/>
        </w:rPr>
        <w:t>。如用excel表计算：A1=202</w:t>
      </w:r>
      <w:r>
        <w:rPr>
          <w:rFonts w:hint="eastAsia" w:eastAsia="仿宋_GB2312" w:cs="Times New Roman"/>
          <w:color w:val="000000" w:themeColor="text1"/>
          <w:sz w:val="32"/>
          <w:szCs w:val="32"/>
          <w:highlight w:val="none"/>
          <w:lang w:val="en-US" w:eastAsia="zh-CN"/>
        </w:rPr>
        <w:t>3</w:t>
      </w:r>
      <w:r>
        <w:rPr>
          <w:rFonts w:hint="default" w:ascii="Times New Roman" w:hAnsi="Times New Roman" w:eastAsia="仿宋_GB2312" w:cs="Times New Roman"/>
          <w:color w:val="000000" w:themeColor="text1"/>
          <w:sz w:val="32"/>
          <w:szCs w:val="32"/>
          <w:highlight w:val="none"/>
        </w:rPr>
        <w:t>年</w:t>
      </w:r>
      <w:r>
        <w:rPr>
          <w:rFonts w:hint="default" w:ascii="Times New Roman" w:hAnsi="Times New Roman" w:eastAsia="仿宋_GB2312" w:cs="Times New Roman"/>
          <w:color w:val="000000" w:themeColor="text1"/>
          <w:sz w:val="32"/>
          <w:szCs w:val="32"/>
          <w:highlight w:val="none"/>
          <w:lang w:val="en-US" w:eastAsia="zh-CN"/>
        </w:rPr>
        <w:t>营业</w:t>
      </w:r>
      <w:r>
        <w:rPr>
          <w:rFonts w:hint="default" w:ascii="Times New Roman" w:hAnsi="Times New Roman" w:eastAsia="仿宋_GB2312" w:cs="Times New Roman"/>
          <w:color w:val="000000" w:themeColor="text1"/>
          <w:sz w:val="32"/>
          <w:szCs w:val="32"/>
          <w:highlight w:val="none"/>
        </w:rPr>
        <w:t>收入总额</w:t>
      </w:r>
      <w:r>
        <w:rPr>
          <w:rFonts w:hint="default" w:ascii="Times New Roman" w:hAnsi="Times New Roman" w:eastAsia="仿宋_GB2312" w:cs="Times New Roman"/>
          <w:color w:val="000000" w:themeColor="text1"/>
          <w:sz w:val="32"/>
          <w:szCs w:val="32"/>
          <w:highlight w:val="none"/>
          <w:lang w:val="en-US" w:eastAsia="zh-CN"/>
        </w:rPr>
        <w:t>，A2=20</w:t>
      </w:r>
      <w:r>
        <w:rPr>
          <w:rFonts w:hint="eastAsia" w:eastAsia="仿宋_GB2312" w:cs="Times New Roman"/>
          <w:color w:val="000000" w:themeColor="text1"/>
          <w:sz w:val="32"/>
          <w:szCs w:val="32"/>
          <w:highlight w:val="none"/>
          <w:lang w:val="en-US" w:eastAsia="zh-CN"/>
        </w:rPr>
        <w:t>20</w:t>
      </w:r>
      <w:r>
        <w:rPr>
          <w:rFonts w:hint="default" w:ascii="Times New Roman" w:hAnsi="Times New Roman" w:eastAsia="仿宋_GB2312" w:cs="Times New Roman"/>
          <w:color w:val="000000" w:themeColor="text1"/>
          <w:sz w:val="32"/>
          <w:szCs w:val="32"/>
          <w:highlight w:val="none"/>
        </w:rPr>
        <w:t>年</w:t>
      </w:r>
      <w:r>
        <w:rPr>
          <w:rFonts w:hint="default" w:ascii="Times New Roman" w:hAnsi="Times New Roman" w:eastAsia="仿宋_GB2312" w:cs="Times New Roman"/>
          <w:color w:val="000000" w:themeColor="text1"/>
          <w:sz w:val="32"/>
          <w:szCs w:val="32"/>
          <w:highlight w:val="none"/>
          <w:lang w:val="en-US" w:eastAsia="zh-CN"/>
        </w:rPr>
        <w:t>营业</w:t>
      </w:r>
      <w:r>
        <w:rPr>
          <w:rFonts w:hint="default" w:ascii="Times New Roman" w:hAnsi="Times New Roman" w:eastAsia="仿宋_GB2312" w:cs="Times New Roman"/>
          <w:color w:val="000000" w:themeColor="text1"/>
          <w:sz w:val="32"/>
          <w:szCs w:val="32"/>
          <w:highlight w:val="none"/>
        </w:rPr>
        <w:t>收入总额</w:t>
      </w:r>
      <w:r>
        <w:rPr>
          <w:rFonts w:hint="default" w:ascii="Times New Roman" w:hAnsi="Times New Roman" w:eastAsia="仿宋_GB2312" w:cs="Times New Roman"/>
          <w:color w:val="000000" w:themeColor="text1"/>
          <w:sz w:val="32"/>
          <w:szCs w:val="32"/>
          <w:highlight w:val="none"/>
          <w:lang w:eastAsia="zh-CN"/>
        </w:rPr>
        <w:t>，</w:t>
      </w:r>
      <w:r>
        <w:rPr>
          <w:rFonts w:hint="default" w:ascii="Times New Roman" w:hAnsi="Times New Roman" w:eastAsia="仿宋_GB2312" w:cs="Times New Roman"/>
          <w:color w:val="000000" w:themeColor="text1"/>
          <w:sz w:val="32"/>
          <w:szCs w:val="32"/>
          <w:highlight w:val="none"/>
          <w:lang w:val="en-US" w:eastAsia="zh-CN"/>
        </w:rPr>
        <w:t>计算公式为：=((A1/A2)^(1/3)</w:t>
      </w:r>
      <w:r>
        <w:rPr>
          <w:rFonts w:hint="default" w:ascii="Times New Roman" w:hAnsi="Times New Roman" w:eastAsia="仿宋_GB2312" w:cs="Times New Roman"/>
          <w:color w:val="000000" w:themeColor="text1"/>
          <w:sz w:val="32"/>
          <w:szCs w:val="32"/>
          <w:highlight w:val="none"/>
        </w:rPr>
        <w:t>－</w:t>
      </w:r>
      <w:r>
        <w:rPr>
          <w:rFonts w:hint="default" w:ascii="Times New Roman" w:hAnsi="Times New Roman" w:eastAsia="仿宋_GB2312" w:cs="Times New Roman"/>
          <w:color w:val="000000" w:themeColor="text1"/>
          <w:sz w:val="32"/>
          <w:szCs w:val="32"/>
          <w:highlight w:val="none"/>
          <w:lang w:val="en-US" w:eastAsia="zh-CN"/>
        </w:rPr>
        <w:t>1)*100%。</w:t>
      </w:r>
    </w:p>
    <w:p>
      <w:pPr>
        <w:widowControl/>
        <w:numPr>
          <w:ilvl w:val="-1"/>
          <w:numId w:val="0"/>
        </w:numPr>
        <w:ind w:left="0" w:leftChars="0" w:firstLine="640" w:firstLineChars="200"/>
        <w:rPr>
          <w:rFonts w:hint="eastAsia" w:ascii="Times New Roman" w:hAnsi="Times New Roman" w:eastAsia="仿宋_GB2312" w:cs="Times New Roman"/>
          <w:sz w:val="32"/>
          <w:szCs w:val="32"/>
        </w:rPr>
      </w:pPr>
      <w:r>
        <w:rPr>
          <w:rFonts w:hint="eastAsia" w:eastAsia="仿宋_GB2312" w:cs="Times New Roman"/>
          <w:sz w:val="32"/>
          <w:szCs w:val="32"/>
          <w:lang w:val="en-US" w:eastAsia="zh-CN"/>
        </w:rPr>
        <w:t>5.</w:t>
      </w:r>
      <w:r>
        <w:rPr>
          <w:rFonts w:hint="eastAsia" w:ascii="Times New Roman" w:hAnsi="Times New Roman" w:eastAsia="仿宋_GB2312" w:cs="Times New Roman"/>
          <w:sz w:val="32"/>
          <w:szCs w:val="32"/>
        </w:rPr>
        <w:t>休闲农业培训覆盖率（%）：指每年参加休闲农业相关培训的从业人员占比。休闲农业培训是指对企业和经营主体进行的科学、系统、有组织的围绕提升农民综合素质、生产技能和经营管理能力的培训。计算公式：休闲农业培训覆盖率=每年参加休闲农业相关培训的从业人员数量/休闲农业从业人员总数×100%。</w:t>
      </w:r>
    </w:p>
    <w:p>
      <w:pPr>
        <w:widowControl/>
        <w:numPr>
          <w:ilvl w:val="-1"/>
          <w:numId w:val="0"/>
        </w:numPr>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6.全县农业主导产业：指按第一产业核算农业产业产值排第一的产业。请从粮食产业、油料产业、生猪产业、牛产业、羊产业、奶业、禽产业、蛋产业、渔业、水果产业、蔬菜产业、茶产业等产业中选择填写本县2023年农业产值排第一的产业名称。如某县2023年粮食产值在所有农业产业中产值排第一，则填粮食产业。</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firstLine="640" w:firstLineChars="200"/>
        <w:textAlignment w:val="auto"/>
        <w:rPr>
          <w:rFonts w:hint="eastAsia" w:ascii="Times New Roman" w:hAnsi="Times New Roman" w:eastAsia="仿宋_GB2312" w:cs="Times New Roman"/>
          <w:b w:val="0"/>
          <w:sz w:val="32"/>
          <w:szCs w:val="32"/>
          <w:lang w:eastAsia="zh-CN"/>
        </w:rPr>
      </w:pPr>
      <w:r>
        <w:rPr>
          <w:rFonts w:hint="eastAsia" w:eastAsia="仿宋_GB2312" w:cs="Times New Roman"/>
          <w:sz w:val="32"/>
          <w:szCs w:val="32"/>
          <w:lang w:val="en-US" w:eastAsia="zh-CN"/>
        </w:rPr>
        <w:t>7.</w:t>
      </w:r>
      <w:r>
        <w:rPr>
          <w:rFonts w:hint="eastAsia" w:ascii="Times New Roman" w:hAnsi="Times New Roman" w:eastAsia="仿宋_GB2312" w:cs="Times New Roman"/>
          <w:b w:val="0"/>
          <w:sz w:val="32"/>
          <w:szCs w:val="32"/>
        </w:rPr>
        <w:t>休闲农业对农业主导产业</w:t>
      </w:r>
      <w:r>
        <w:rPr>
          <w:rFonts w:hint="eastAsia" w:ascii="Times New Roman" w:hAnsi="Times New Roman" w:eastAsia="仿宋_GB2312" w:cs="Times New Roman"/>
          <w:b w:val="0"/>
          <w:sz w:val="32"/>
          <w:szCs w:val="32"/>
          <w:lang w:val="en-US" w:eastAsia="zh-CN"/>
        </w:rPr>
        <w:t>全产业链</w:t>
      </w:r>
      <w:r>
        <w:rPr>
          <w:rFonts w:hint="eastAsia" w:ascii="Times New Roman" w:hAnsi="Times New Roman" w:eastAsia="仿宋_GB2312" w:cs="Times New Roman"/>
          <w:b w:val="0"/>
          <w:sz w:val="32"/>
          <w:szCs w:val="32"/>
        </w:rPr>
        <w:t>产值贡献率</w:t>
      </w:r>
      <w:r>
        <w:rPr>
          <w:rFonts w:hint="eastAsia" w:ascii="Times New Roman" w:hAnsi="Times New Roman" w:eastAsia="仿宋_GB2312" w:cs="Times New Roman"/>
          <w:b w:val="0"/>
          <w:sz w:val="32"/>
          <w:szCs w:val="32"/>
          <w:lang w:eastAsia="zh-CN"/>
        </w:rPr>
        <w:t>：依托农业主导产业延伸拓展休闲体验功能而获得的休闲农业产值/农业主导产业全产业链产值×100%（请用2023年的数据）。例如：2023年某县农业主导产业为油料</w:t>
      </w:r>
      <w:r>
        <w:rPr>
          <w:rFonts w:hint="eastAsia" w:ascii="Times New Roman" w:hAnsi="Times New Roman" w:eastAsia="仿宋_GB2312" w:cs="Times New Roman"/>
          <w:sz w:val="32"/>
          <w:szCs w:val="32"/>
        </w:rPr>
        <w:t>（</w:t>
      </w:r>
      <w:r>
        <w:rPr>
          <w:rFonts w:hint="eastAsia" w:ascii="Times New Roman" w:hAnsi="Times New Roman" w:eastAsia="仿宋_GB2312" w:cs="Times New Roman"/>
          <w:b w:val="0"/>
          <w:sz w:val="32"/>
          <w:szCs w:val="32"/>
          <w:lang w:eastAsia="zh-CN"/>
        </w:rPr>
        <w:t>油菜</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b w:val="0"/>
          <w:sz w:val="32"/>
          <w:szCs w:val="32"/>
          <w:lang w:eastAsia="zh-CN"/>
        </w:rPr>
        <w:t>，油料全产业链产值为40亿元，该县依托油菜种植、油料加工等第一二产业向休闲农业延伸拓展，开展油菜花海休闲体验、油菜种植科普教育、油</w:t>
      </w:r>
      <w:r>
        <w:rPr>
          <w:rFonts w:hint="eastAsia" w:ascii="Times New Roman" w:hAnsi="Times New Roman" w:eastAsia="仿宋_GB2312" w:cs="Times New Roman"/>
          <w:b w:val="0"/>
          <w:sz w:val="32"/>
          <w:szCs w:val="32"/>
          <w:lang w:val="en-US" w:eastAsia="zh-CN"/>
        </w:rPr>
        <w:t>菜花休闲工艺品</w:t>
      </w:r>
      <w:r>
        <w:rPr>
          <w:rFonts w:hint="eastAsia" w:ascii="Times New Roman" w:hAnsi="Times New Roman" w:eastAsia="仿宋_GB2312" w:cs="Times New Roman"/>
          <w:b w:val="0"/>
          <w:sz w:val="32"/>
          <w:szCs w:val="32"/>
          <w:lang w:eastAsia="zh-CN"/>
        </w:rPr>
        <w:t>等休闲农业的产值为</w:t>
      </w:r>
      <w:r>
        <w:rPr>
          <w:rFonts w:hint="eastAsia" w:ascii="Times New Roman" w:hAnsi="Times New Roman" w:eastAsia="仿宋_GB2312" w:cs="Times New Roman"/>
          <w:b w:val="0"/>
          <w:sz w:val="32"/>
          <w:szCs w:val="32"/>
          <w:lang w:val="en-US" w:eastAsia="zh-CN"/>
        </w:rPr>
        <w:t>8</w:t>
      </w:r>
      <w:r>
        <w:rPr>
          <w:rFonts w:hint="eastAsia" w:ascii="Times New Roman" w:hAnsi="Times New Roman" w:eastAsia="仿宋_GB2312" w:cs="Times New Roman"/>
          <w:b w:val="0"/>
          <w:sz w:val="32"/>
          <w:szCs w:val="32"/>
          <w:lang w:eastAsia="zh-CN"/>
        </w:rPr>
        <w:t>亿，则贡献率为：</w:t>
      </w:r>
      <w:r>
        <w:rPr>
          <w:rFonts w:hint="eastAsia" w:ascii="Times New Roman" w:hAnsi="Times New Roman" w:eastAsia="仿宋_GB2312" w:cs="Times New Roman"/>
          <w:b w:val="0"/>
          <w:sz w:val="32"/>
          <w:szCs w:val="32"/>
          <w:lang w:val="en-US" w:eastAsia="zh-CN"/>
        </w:rPr>
        <w:t>8</w:t>
      </w:r>
      <w:r>
        <w:rPr>
          <w:rFonts w:hint="eastAsia" w:ascii="Times New Roman" w:hAnsi="Times New Roman" w:eastAsia="仿宋_GB2312" w:cs="Times New Roman"/>
          <w:b w:val="0"/>
          <w:sz w:val="32"/>
          <w:szCs w:val="32"/>
          <w:lang w:eastAsia="zh-CN"/>
        </w:rPr>
        <w:t>亿元/40亿元×100% =</w:t>
      </w:r>
      <w:r>
        <w:rPr>
          <w:rFonts w:hint="eastAsia" w:ascii="Times New Roman" w:hAnsi="Times New Roman" w:eastAsia="仿宋_GB2312" w:cs="Times New Roman"/>
          <w:b w:val="0"/>
          <w:sz w:val="32"/>
          <w:szCs w:val="32"/>
          <w:lang w:val="en-US" w:eastAsia="zh-CN"/>
        </w:rPr>
        <w:t>2</w:t>
      </w:r>
      <w:r>
        <w:rPr>
          <w:rFonts w:hint="eastAsia" w:ascii="Times New Roman" w:hAnsi="Times New Roman" w:eastAsia="仿宋_GB2312" w:cs="Times New Roman"/>
          <w:b w:val="0"/>
          <w:sz w:val="32"/>
          <w:szCs w:val="32"/>
          <w:lang w:eastAsia="zh-CN"/>
        </w:rPr>
        <w:t>0%。</w:t>
      </w:r>
    </w:p>
    <w:p>
      <w:pPr>
        <w:widowControl/>
        <w:numPr>
          <w:ilvl w:val="0"/>
          <w:numId w:val="0"/>
        </w:numPr>
        <w:ind w:firstLine="640" w:firstLineChars="200"/>
        <w:rPr>
          <w:rFonts w:hint="eastAsia"/>
        </w:rPr>
      </w:pPr>
      <w:r>
        <w:rPr>
          <w:rFonts w:hint="eastAsia" w:eastAsia="仿宋_GB2312" w:cs="Times New Roman"/>
          <w:sz w:val="32"/>
          <w:szCs w:val="32"/>
          <w:lang w:val="en-US" w:eastAsia="zh-CN"/>
        </w:rPr>
        <w:t>8.</w:t>
      </w:r>
      <w:r>
        <w:rPr>
          <w:rFonts w:hint="eastAsia" w:ascii="Times New Roman" w:hAnsi="Times New Roman" w:eastAsia="仿宋_GB2312" w:cs="Times New Roman"/>
          <w:sz w:val="32"/>
          <w:szCs w:val="32"/>
          <w:lang w:val="en-US" w:eastAsia="zh-CN"/>
        </w:rPr>
        <w:t>享受中央财政奖励政策的农业产业大县：</w:t>
      </w:r>
      <w:r>
        <w:rPr>
          <w:rFonts w:hint="eastAsia" w:ascii="Times New Roman" w:hAnsi="Times New Roman" w:eastAsia="仿宋_GB2312" w:cs="Times New Roman"/>
          <w:b w:val="0"/>
          <w:bCs w:val="0"/>
          <w:sz w:val="32"/>
          <w:szCs w:val="32"/>
          <w:lang w:val="en-US" w:eastAsia="zh-CN"/>
        </w:rPr>
        <w:t>产粮（油）大县</w:t>
      </w:r>
      <w:r>
        <w:rPr>
          <w:rFonts w:hint="eastAsia" w:ascii="Times New Roman" w:hAnsi="Times New Roman" w:eastAsia="仿宋_GB2312" w:cs="Times New Roman"/>
          <w:sz w:val="32"/>
          <w:szCs w:val="32"/>
          <w:lang w:val="en-US" w:eastAsia="zh-CN"/>
        </w:rPr>
        <w:t>是指依据《财政部关于印发</w:t>
      </w:r>
      <w:r>
        <w:rPr>
          <w:rFonts w:hint="eastAsia" w:ascii="Times New Roman" w:hAnsi="Times New Roman" w:eastAsia="仿宋_GB2312" w:cs="Times New Roman"/>
          <w:i w:val="0"/>
          <w:iCs w:val="0"/>
          <w:caps w:val="0"/>
          <w:spacing w:val="0"/>
          <w:sz w:val="32"/>
          <w:szCs w:val="32"/>
          <w:shd w:val="clear"/>
        </w:rPr>
        <w:t>〈</w:t>
      </w:r>
      <w:r>
        <w:rPr>
          <w:rFonts w:hint="eastAsia" w:ascii="Times New Roman" w:hAnsi="Times New Roman" w:eastAsia="仿宋_GB2312" w:cs="Times New Roman"/>
          <w:sz w:val="32"/>
          <w:szCs w:val="32"/>
          <w:lang w:val="en-US" w:eastAsia="zh-CN"/>
        </w:rPr>
        <w:t>产粮（油）大县奖励资金管理暂行办法</w:t>
      </w:r>
      <w:r>
        <w:rPr>
          <w:rFonts w:hint="eastAsia" w:ascii="Times New Roman" w:hAnsi="Times New Roman" w:eastAsia="仿宋_GB2312" w:cs="Times New Roman"/>
          <w:i w:val="0"/>
          <w:iCs w:val="0"/>
          <w:caps w:val="0"/>
          <w:spacing w:val="0"/>
          <w:sz w:val="32"/>
          <w:szCs w:val="32"/>
          <w:shd w:val="clear"/>
        </w:rPr>
        <w:t>〉</w:t>
      </w:r>
      <w:r>
        <w:rPr>
          <w:rFonts w:hint="eastAsia" w:ascii="Times New Roman" w:hAnsi="Times New Roman" w:eastAsia="仿宋_GB2312" w:cs="Times New Roman"/>
          <w:sz w:val="32"/>
          <w:szCs w:val="32"/>
          <w:lang w:val="en-US" w:eastAsia="zh-CN"/>
        </w:rPr>
        <w:t>的通知》（财建〔2018〕413号）享受中央财政产粮（油）大县奖励资金的县。生猪（牛羊）调出大县是指依据《财政部关于印发</w:t>
      </w:r>
      <w:r>
        <w:rPr>
          <w:rFonts w:hint="eastAsia" w:ascii="Times New Roman" w:hAnsi="Times New Roman" w:eastAsia="仿宋_GB2312" w:cs="Times New Roman"/>
          <w:i w:val="0"/>
          <w:iCs w:val="0"/>
          <w:caps w:val="0"/>
          <w:spacing w:val="0"/>
          <w:sz w:val="32"/>
          <w:szCs w:val="32"/>
          <w:shd w:val="clear"/>
        </w:rPr>
        <w:t>〈</w:t>
      </w:r>
      <w:r>
        <w:rPr>
          <w:rFonts w:hint="eastAsia" w:ascii="Times New Roman" w:hAnsi="Times New Roman" w:eastAsia="仿宋_GB2312" w:cs="Times New Roman"/>
          <w:sz w:val="32"/>
          <w:szCs w:val="32"/>
          <w:lang w:val="en-US" w:eastAsia="zh-CN"/>
        </w:rPr>
        <w:t>生猪（牛羊）调出大县奖励资金管理办法</w:t>
      </w:r>
      <w:r>
        <w:rPr>
          <w:rFonts w:hint="eastAsia" w:ascii="Times New Roman" w:hAnsi="Times New Roman" w:eastAsia="仿宋_GB2312" w:cs="Times New Roman"/>
          <w:i w:val="0"/>
          <w:iCs w:val="0"/>
          <w:caps w:val="0"/>
          <w:spacing w:val="0"/>
          <w:sz w:val="32"/>
          <w:szCs w:val="32"/>
          <w:shd w:val="clear"/>
        </w:rPr>
        <w:t>〉</w:t>
      </w:r>
      <w:r>
        <w:rPr>
          <w:rFonts w:hint="eastAsia" w:ascii="Times New Roman" w:hAnsi="Times New Roman" w:eastAsia="仿宋_GB2312" w:cs="Times New Roman"/>
          <w:sz w:val="32"/>
          <w:szCs w:val="32"/>
          <w:lang w:val="en-US" w:eastAsia="zh-CN"/>
        </w:rPr>
        <w:t>的通知》（财建〔2015〕778号）享受中央财政生猪（牛羊）调出大县奖励资金的县。奶业大县是指依据《农业农村部办公厅、财政部办公厅关于实施奶业生产能力提升整县推进项目的通知》（农办牧〔2022〕13号）享受中央财政补助资金的县。</w:t>
      </w:r>
    </w:p>
    <w:p>
      <w:pPr>
        <w:ind w:firstLine="640" w:firstLineChars="200"/>
        <w:rPr>
          <w:rFonts w:hint="default"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rPr>
        <w:t>四、</w:t>
      </w:r>
      <w:r>
        <w:rPr>
          <w:rFonts w:hint="eastAsia" w:ascii="Times New Roman" w:hAnsi="Times New Roman" w:eastAsia="黑体" w:cs="Times New Roman"/>
          <w:bCs/>
          <w:sz w:val="32"/>
          <w:szCs w:val="32"/>
          <w:lang w:val="en-US" w:eastAsia="zh-CN"/>
        </w:rPr>
        <w:t>定性描述部分</w:t>
      </w:r>
    </w:p>
    <w:p>
      <w:pPr>
        <w:ind w:firstLine="640" w:firstLineChars="200"/>
        <w:rPr>
          <w:rFonts w:hint="eastAsia" w:ascii="Times New Roman" w:hAnsi="Times New Roman" w:eastAsia="仿宋_GB2312" w:cs="Times New Roman"/>
          <w:b w:val="0"/>
          <w:bCs w:val="0"/>
          <w:sz w:val="32"/>
          <w:szCs w:val="32"/>
        </w:rPr>
      </w:pPr>
      <w:r>
        <w:rPr>
          <w:rFonts w:hint="eastAsia" w:ascii="Times New Roman" w:hAnsi="Times New Roman" w:eastAsia="仿宋_GB2312" w:cs="Times New Roman"/>
          <w:b w:val="0"/>
          <w:bCs w:val="0"/>
          <w:sz w:val="32"/>
          <w:szCs w:val="32"/>
        </w:rPr>
        <w:t>休闲农业重点县建设情况总结论述中要注意：</w:t>
      </w:r>
    </w:p>
    <w:p>
      <w:pPr>
        <w:ind w:firstLine="640" w:firstLineChars="200"/>
        <w:rPr>
          <w:rFonts w:hint="eastAsia" w:ascii="Times New Roman" w:hAnsi="Times New Roman" w:eastAsia="仿宋_GB2312" w:cs="Times New Roman"/>
          <w:b w:val="0"/>
          <w:bCs w:val="0"/>
          <w:sz w:val="32"/>
          <w:szCs w:val="32"/>
        </w:rPr>
      </w:pPr>
      <w:r>
        <w:rPr>
          <w:rFonts w:hint="eastAsia" w:ascii="Times New Roman" w:hAnsi="Times New Roman" w:eastAsia="仿宋_GB2312" w:cs="Times New Roman"/>
          <w:b w:val="0"/>
          <w:bCs w:val="0"/>
          <w:sz w:val="32"/>
          <w:szCs w:val="32"/>
        </w:rPr>
        <w:t xml:space="preserve"> 1.功能拓展方面要重点阐述：本县依托农业农村特色资源和农业文化遗产，形成乡村休闲文化体验项目，实现乡村优秀传统文化的活化传承。依托山水林田湖草沙等生态资源优势，结合农业资源保护利用、农村生态文明建设，形成的生态休闲体验项目，实现生态资源价值的转化；依托农业高新科技示范、特色农业生产环节等，形成农业科普、亲子教育等实现科普教育功能的项目。</w:t>
      </w:r>
    </w:p>
    <w:p>
      <w:pPr>
        <w:ind w:firstLine="640" w:firstLineChars="200"/>
        <w:rPr>
          <w:rFonts w:hint="eastAsia" w:ascii="Times New Roman" w:hAnsi="Times New Roman" w:eastAsia="仿宋_GB2312" w:cs="Times New Roman"/>
          <w:b w:val="0"/>
          <w:bCs w:val="0"/>
          <w:sz w:val="32"/>
          <w:szCs w:val="32"/>
        </w:rPr>
      </w:pPr>
      <w:r>
        <w:rPr>
          <w:rFonts w:hint="eastAsia" w:ascii="Times New Roman" w:hAnsi="Times New Roman" w:eastAsia="仿宋_GB2312" w:cs="Times New Roman"/>
          <w:b w:val="0"/>
          <w:bCs w:val="0"/>
          <w:sz w:val="32"/>
          <w:szCs w:val="32"/>
          <w:lang w:val="en-US" w:eastAsia="zh-CN"/>
        </w:rPr>
        <w:t>2.</w:t>
      </w:r>
      <w:r>
        <w:rPr>
          <w:rFonts w:hint="eastAsia" w:ascii="Times New Roman" w:hAnsi="Times New Roman" w:eastAsia="仿宋_GB2312" w:cs="Times New Roman"/>
          <w:b w:val="0"/>
          <w:bCs w:val="0"/>
          <w:sz w:val="32"/>
          <w:szCs w:val="32"/>
        </w:rPr>
        <w:t>机制创新方面要重点阐述：本县是否成立县级主要领导任组长，相关部门负责人任成员的休闲农业重点县建设领导小组，且领导小组机制在休闲农业发展决策中发挥了突出的领导作用；是否形成相关部门定期参加研究解决休闲农业发展问题的休闲农业发展联席会议制度；是否形成联农带农机制，农民分享二三产业增值收益有保障；是否建立多种经营主体协同发展的行业组织或沟通联系机制。</w:t>
      </w:r>
    </w:p>
    <w:p>
      <w:pPr>
        <w:ind w:firstLine="640" w:firstLineChars="200"/>
        <w:rPr>
          <w:rFonts w:hint="eastAsia" w:ascii="Times New Roman" w:hAnsi="Times New Roman" w:eastAsia="仿宋_GB2312" w:cs="Times New Roman"/>
          <w:b w:val="0"/>
          <w:bCs w:val="0"/>
          <w:sz w:val="32"/>
          <w:szCs w:val="32"/>
        </w:rPr>
      </w:pPr>
      <w:r>
        <w:rPr>
          <w:rFonts w:hint="eastAsia" w:ascii="Times New Roman" w:hAnsi="Times New Roman" w:eastAsia="仿宋_GB2312" w:cs="Times New Roman"/>
          <w:b w:val="0"/>
          <w:bCs w:val="0"/>
          <w:sz w:val="32"/>
          <w:szCs w:val="32"/>
          <w:lang w:val="en-US" w:eastAsia="zh-CN"/>
        </w:rPr>
        <w:t>3.</w:t>
      </w:r>
      <w:r>
        <w:rPr>
          <w:rFonts w:hint="eastAsia" w:ascii="Times New Roman" w:hAnsi="Times New Roman" w:eastAsia="仿宋_GB2312" w:cs="Times New Roman"/>
          <w:b w:val="0"/>
          <w:bCs w:val="0"/>
          <w:sz w:val="32"/>
          <w:szCs w:val="32"/>
        </w:rPr>
        <w:t>政策创设方面要重点阐述：出台休闲农业和乡村旅游人才引进和培训、支持休闲农业发展用地政策、资金支持政策或提供便利融资方式等情况。</w:t>
      </w:r>
    </w:p>
    <w:p>
      <w:pPr>
        <w:pStyle w:val="2"/>
        <w:numPr>
          <w:numId w:val="0"/>
        </w:numPr>
        <w:ind w:firstLine="640" w:firstLineChars="200"/>
      </w:pPr>
      <w:r>
        <w:rPr>
          <w:rFonts w:hint="eastAsia" w:ascii="Times New Roman" w:hAnsi="Times New Roman" w:eastAsia="仿宋_GB2312" w:cs="Times New Roman"/>
          <w:b w:val="0"/>
          <w:bCs w:val="0"/>
          <w:sz w:val="32"/>
          <w:szCs w:val="32"/>
          <w:lang w:val="en-US" w:eastAsia="zh-CN"/>
        </w:rPr>
        <w:t>4.</w:t>
      </w:r>
      <w:r>
        <w:rPr>
          <w:rFonts w:hint="eastAsia" w:ascii="Times New Roman" w:hAnsi="Times New Roman" w:eastAsia="仿宋_GB2312" w:cs="Times New Roman"/>
          <w:b w:val="0"/>
          <w:bCs w:val="0"/>
          <w:sz w:val="32"/>
          <w:szCs w:val="32"/>
        </w:rPr>
        <w:t>出台相关政策性文件以附件形式一并提供。</w:t>
      </w:r>
    </w:p>
    <w:p>
      <w:pPr>
        <w:ind w:firstLine="640" w:firstLineChars="200"/>
        <w:rPr>
          <w:rFonts w:ascii="Times New Roman" w:hAnsi="Times New Roman" w:eastAsia="黑体" w:cs="Times New Roman"/>
          <w:bCs/>
          <w:sz w:val="32"/>
          <w:szCs w:val="32"/>
        </w:rPr>
      </w:pPr>
      <w:r>
        <w:rPr>
          <w:rFonts w:hint="eastAsia" w:ascii="Times New Roman" w:hAnsi="Times New Roman" w:eastAsia="黑体" w:cs="Times New Roman"/>
          <w:bCs/>
          <w:sz w:val="32"/>
          <w:szCs w:val="32"/>
          <w:lang w:val="en-US" w:eastAsia="zh-CN"/>
        </w:rPr>
        <w:t>五</w:t>
      </w:r>
      <w:r>
        <w:rPr>
          <w:rFonts w:hint="eastAsia" w:ascii="Times New Roman" w:hAnsi="Times New Roman" w:eastAsia="黑体" w:cs="Times New Roman"/>
          <w:bCs/>
          <w:sz w:val="32"/>
          <w:szCs w:val="32"/>
        </w:rPr>
        <w:t>、初审后期处置</w:t>
      </w:r>
    </w:p>
    <w:p>
      <w:pPr>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1.材料不齐。</w:t>
      </w:r>
      <w:r>
        <w:rPr>
          <w:rFonts w:hint="eastAsia" w:ascii="Times New Roman" w:hAnsi="Times New Roman" w:eastAsia="仿宋_GB2312" w:cs="Times New Roman"/>
          <w:sz w:val="32"/>
          <w:szCs w:val="32"/>
        </w:rPr>
        <w:t>监测材料有缺失的，省级管理部门需在部里通知后3个工作日内补齐材料。</w:t>
      </w:r>
    </w:p>
    <w:p>
      <w:pPr>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2.合理说明。</w:t>
      </w:r>
      <w:r>
        <w:rPr>
          <w:rFonts w:hint="eastAsia" w:ascii="Times New Roman" w:hAnsi="Times New Roman" w:eastAsia="仿宋_GB2312" w:cs="Times New Roman"/>
          <w:sz w:val="32"/>
          <w:szCs w:val="32"/>
        </w:rPr>
        <w:t>省级管理部门要按时限督促提供特殊情况补充说明材料，如由于疫情</w:t>
      </w:r>
      <w:r>
        <w:rPr>
          <w:rFonts w:hint="eastAsia" w:eastAsia="仿宋_GB2312" w:cs="Times New Roman"/>
          <w:sz w:val="32"/>
          <w:szCs w:val="32"/>
          <w:lang w:val="en-US" w:eastAsia="zh-CN"/>
        </w:rPr>
        <w:t>等原因</w:t>
      </w:r>
      <w:r>
        <w:rPr>
          <w:rFonts w:hint="eastAsia" w:ascii="Times New Roman" w:hAnsi="Times New Roman" w:eastAsia="仿宋_GB2312" w:cs="Times New Roman"/>
          <w:sz w:val="32"/>
          <w:szCs w:val="32"/>
        </w:rPr>
        <w:t>导致全县休闲农业接待人次近三年平均增速和休闲农业经营收入近三年平均增速出现负值，需提供情况说明</w:t>
      </w:r>
      <w:r>
        <w:rPr>
          <w:rFonts w:hint="eastAsia" w:ascii="Times New Roman" w:hAnsi="Times New Roman" w:eastAsia="仿宋_GB2312" w:cs="Times New Roman"/>
          <w:sz w:val="32"/>
          <w:szCs w:val="32"/>
          <w:lang w:val="en-US" w:eastAsia="zh-CN"/>
        </w:rPr>
        <w:t>及历年原始数据</w:t>
      </w:r>
      <w:r>
        <w:rPr>
          <w:rFonts w:hint="eastAsia" w:ascii="Times New Roman" w:hAnsi="Times New Roman" w:eastAsia="仿宋_GB2312" w:cs="Times New Roman"/>
          <w:sz w:val="32"/>
          <w:szCs w:val="32"/>
        </w:rPr>
        <w:t>。</w:t>
      </w:r>
    </w:p>
    <w:p>
      <w:pPr>
        <w:ind w:firstLine="643" w:firstLineChars="200"/>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b/>
          <w:sz w:val="32"/>
          <w:szCs w:val="32"/>
        </w:rPr>
        <w:t>注：</w:t>
      </w:r>
      <w:r>
        <w:rPr>
          <w:rFonts w:hint="default" w:ascii="Times New Roman" w:hAnsi="Times New Roman" w:eastAsia="仿宋_GB2312" w:cs="Times New Roman"/>
          <w:sz w:val="32"/>
          <w:szCs w:val="32"/>
        </w:rPr>
        <w:t>省级农业农村部门要及时组织开展休闲农业重点县申报和监测工作，</w:t>
      </w:r>
      <w:r>
        <w:rPr>
          <w:rFonts w:hint="default" w:ascii="Times New Roman" w:hAnsi="Times New Roman" w:eastAsia="仿宋_GB2312" w:cs="Times New Roman"/>
          <w:sz w:val="32"/>
          <w:szCs w:val="32"/>
          <w:highlight w:val="none"/>
        </w:rPr>
        <w:t>于</w:t>
      </w:r>
      <w:r>
        <w:rPr>
          <w:rFonts w:hint="eastAsia" w:eastAsia="仿宋_GB2312" w:cs="Times New Roman"/>
          <w:sz w:val="32"/>
          <w:szCs w:val="32"/>
          <w:highlight w:val="none"/>
          <w:lang w:eastAsia="zh-CN"/>
        </w:rPr>
        <w:t>2024</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17</w:t>
      </w:r>
      <w:r>
        <w:rPr>
          <w:rFonts w:hint="default" w:ascii="Times New Roman" w:hAnsi="Times New Roman" w:eastAsia="仿宋_GB2312" w:cs="Times New Roman"/>
          <w:sz w:val="32"/>
          <w:szCs w:val="32"/>
          <w:highlight w:val="none"/>
        </w:rPr>
        <w:t>日前将省级文件（监测评估意见）</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监测表等相关材料纸质版1份</w:t>
      </w:r>
      <w:r>
        <w:rPr>
          <w:rFonts w:hint="eastAsia" w:ascii="Times New Roman" w:hAnsi="Times New Roman" w:eastAsia="仿宋_GB2312" w:cs="Times New Roman"/>
          <w:sz w:val="32"/>
          <w:szCs w:val="32"/>
          <w:highlight w:val="none"/>
        </w:rPr>
        <w:t>邮寄到农业农村部乡村产业发展司</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农产品加工指导司</w:t>
      </w:r>
      <w:r>
        <w:rPr>
          <w:rFonts w:hint="eastAsia" w:eastAsia="仿宋_GB2312" w:cs="Times New Roman"/>
          <w:sz w:val="32"/>
          <w:szCs w:val="32"/>
          <w:highlight w:val="none"/>
          <w:lang w:eastAsia="zh-CN"/>
        </w:rPr>
        <w:t>）。</w:t>
      </w:r>
    </w:p>
    <w:p>
      <w:pPr>
        <w:ind w:firstLine="0" w:firstLineChars="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联系</w:t>
      </w:r>
      <w:r>
        <w:rPr>
          <w:rFonts w:hint="eastAsia" w:ascii="Times New Roman" w:hAnsi="Times New Roman" w:eastAsia="仿宋_GB2312" w:cs="Times New Roman"/>
          <w:sz w:val="32"/>
          <w:szCs w:val="32"/>
          <w:highlight w:val="none"/>
          <w:lang w:eastAsia="zh-CN"/>
        </w:rPr>
        <w:t>人</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孟德豪</w:t>
      </w:r>
    </w:p>
    <w:p>
      <w:pPr>
        <w:ind w:firstLine="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电 话：010－5919</w:t>
      </w:r>
      <w:r>
        <w:rPr>
          <w:rFonts w:hint="eastAsia" w:eastAsia="仿宋_GB2312" w:cs="Times New Roman"/>
          <w:sz w:val="32"/>
          <w:szCs w:val="32"/>
          <w:highlight w:val="none"/>
          <w:lang w:val="en-US" w:eastAsia="zh-CN"/>
        </w:rPr>
        <w:t>1649</w:t>
      </w:r>
    </w:p>
    <w:p>
      <w:pPr>
        <w:ind w:firstLine="0" w:firstLineChars="0"/>
        <w:rPr>
          <w:rFonts w:hint="eastAsia"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通讯</w:t>
      </w:r>
      <w:r>
        <w:rPr>
          <w:rFonts w:hint="eastAsia" w:ascii="Times New Roman" w:hAnsi="Times New Roman" w:eastAsia="仿宋_GB2312" w:cs="Times New Roman"/>
          <w:sz w:val="32"/>
          <w:szCs w:val="32"/>
          <w:highlight w:val="none"/>
        </w:rPr>
        <w:t>地址：北京市朝阳区农展南里11号</w:t>
      </w:r>
    </w:p>
    <w:p>
      <w:pPr>
        <w:rPr>
          <w:rFonts w:hint="eastAsia"/>
        </w:rPr>
      </w:pPr>
      <w:r>
        <w:rPr>
          <w:rFonts w:hint="eastAsia" w:ascii="Times New Roman" w:hAnsi="Times New Roman" w:eastAsia="仿宋_GB2312" w:cs="Times New Roman"/>
          <w:sz w:val="32"/>
          <w:szCs w:val="32"/>
          <w:highlight w:val="none"/>
        </w:rPr>
        <w:t>邮编：100125</w:t>
      </w:r>
    </w:p>
    <w:p>
      <w:pPr>
        <w:rPr>
          <w:rFonts w:hint="eastAsia" w:ascii="仿宋" w:hAnsi="仿宋" w:eastAsia="仿宋" w:cs="仿宋"/>
          <w:sz w:val="32"/>
          <w:szCs w:val="32"/>
        </w:rPr>
      </w:pPr>
      <w:r>
        <w:rPr>
          <w:rFonts w:hint="eastAsia" w:ascii="仿宋" w:hAnsi="仿宋" w:eastAsia="仿宋" w:cs="仿宋"/>
          <w:sz w:val="32"/>
          <w:szCs w:val="32"/>
        </w:rPr>
        <w:t xml:space="preserve">指标及报送材料答疑人：谭光万  </w:t>
      </w:r>
    </w:p>
    <w:p>
      <w:pPr>
        <w:rPr>
          <w:rFonts w:hint="eastAsia" w:ascii="仿宋" w:hAnsi="仿宋" w:eastAsia="仿宋" w:cs="仿宋"/>
          <w:sz w:val="32"/>
          <w:szCs w:val="32"/>
          <w:lang w:val="en-US" w:eastAsia="zh-CN"/>
        </w:rPr>
      </w:pPr>
      <w:r>
        <w:rPr>
          <w:rFonts w:hint="eastAsia" w:ascii="仿宋" w:hAnsi="仿宋" w:eastAsia="仿宋" w:cs="仿宋"/>
          <w:sz w:val="32"/>
          <w:szCs w:val="32"/>
        </w:rPr>
        <w:t>电话：</w:t>
      </w:r>
      <w:r>
        <w:rPr>
          <w:rFonts w:hint="eastAsia" w:ascii="仿宋" w:hAnsi="仿宋" w:eastAsia="仿宋" w:cs="仿宋"/>
          <w:sz w:val="32"/>
          <w:szCs w:val="32"/>
          <w:lang w:val="en-US" w:eastAsia="zh-CN"/>
        </w:rPr>
        <w:t>010-82105676  微信号：Tanguangwan999</w:t>
      </w:r>
    </w:p>
    <w:p>
      <w:pPr>
        <w:rPr>
          <w:rFonts w:hint="eastAsia" w:ascii="仿宋" w:hAnsi="仿宋" w:eastAsia="仿宋" w:cs="仿宋"/>
          <w:sz w:val="32"/>
          <w:szCs w:val="32"/>
          <w:lang w:val="en-US" w:eastAsia="zh-CN"/>
        </w:rPr>
      </w:pPr>
      <w:r>
        <w:rPr>
          <w:rFonts w:hint="eastAsia" w:ascii="仿宋" w:hAnsi="仿宋" w:eastAsia="仿宋" w:cs="仿宋"/>
          <w:sz w:val="32"/>
          <w:szCs w:val="32"/>
        </w:rPr>
        <w:t>软件操作</w:t>
      </w:r>
      <w:r>
        <w:rPr>
          <w:rFonts w:hint="eastAsia" w:ascii="仿宋" w:hAnsi="仿宋" w:eastAsia="仿宋" w:cs="仿宋"/>
          <w:sz w:val="32"/>
          <w:szCs w:val="32"/>
          <w:lang w:val="en-US" w:eastAsia="zh-CN"/>
        </w:rPr>
        <w:t xml:space="preserve">技术支持联系人：李俊超 </w:t>
      </w:r>
    </w:p>
    <w:p>
      <w:pPr>
        <w:ind w:firstLine="0" w:firstLineChars="0"/>
        <w:rPr>
          <w:rFonts w:ascii="Times New Roman" w:hAnsi="Times New Roman" w:eastAsia="仿宋_GB2312" w:cs="Times New Roman"/>
          <w:sz w:val="32"/>
          <w:szCs w:val="32"/>
        </w:rPr>
      </w:pPr>
      <w:r>
        <w:rPr>
          <w:rFonts w:hint="eastAsia" w:ascii="仿宋" w:hAnsi="仿宋" w:eastAsia="仿宋" w:cs="仿宋"/>
          <w:sz w:val="32"/>
          <w:szCs w:val="32"/>
          <w:lang w:val="en-US" w:eastAsia="zh-CN"/>
        </w:rPr>
        <w:t>电话：010-59195811      QQ：1660860152</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E31E0C-1AE9-4B07-8611-CD895ED4753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D03B7B6-4237-40B1-A2F9-3D3C864CCFCC}"/>
  </w:font>
  <w:font w:name="华文中宋">
    <w:panose1 w:val="02010600040101010101"/>
    <w:charset w:val="86"/>
    <w:family w:val="auto"/>
    <w:pitch w:val="default"/>
    <w:sig w:usb0="00000287" w:usb1="080F0000" w:usb2="00000000" w:usb3="00000000" w:csb0="0004009F" w:csb1="DFD70000"/>
    <w:embedRegular r:id="rId3" w:fontKey="{BE60188D-7D22-49AA-97C9-0BFFBF3EB26A}"/>
  </w:font>
  <w:font w:name="楷体">
    <w:panose1 w:val="02010609060101010101"/>
    <w:charset w:val="86"/>
    <w:family w:val="modern"/>
    <w:pitch w:val="default"/>
    <w:sig w:usb0="800002BF" w:usb1="38CF7CFA" w:usb2="00000016" w:usb3="00000000" w:csb0="00040001" w:csb1="00000000"/>
    <w:embedRegular r:id="rId4" w:fontKey="{7F34AD27-9121-45E1-A688-C5F7838BC65C}"/>
  </w:font>
  <w:font w:name="仿宋_GB2312">
    <w:panose1 w:val="02010609030101010101"/>
    <w:charset w:val="86"/>
    <w:family w:val="modern"/>
    <w:pitch w:val="default"/>
    <w:sig w:usb0="00000001" w:usb1="080E0000" w:usb2="00000000" w:usb3="00000000" w:csb0="00040000" w:csb1="00000000"/>
    <w:embedRegular r:id="rId5" w:fontKey="{3ED1CAA7-A87E-4315-B6CA-A2AC1717C61E}"/>
  </w:font>
  <w:font w:name="仿宋">
    <w:panose1 w:val="02010609060101010101"/>
    <w:charset w:val="86"/>
    <w:family w:val="auto"/>
    <w:pitch w:val="default"/>
    <w:sig w:usb0="800002BF" w:usb1="38CF7CFA" w:usb2="00000016" w:usb3="00000000" w:csb0="00040001" w:csb1="00000000"/>
    <w:embedRegular r:id="rId6" w:fontKey="{34CE32F1-0C53-4196-9E9C-5286C5FE1EF7}"/>
  </w:font>
  <w:font w:name="Cambria Math">
    <w:panose1 w:val="02040503050406030204"/>
    <w:charset w:val="00"/>
    <w:family w:val="roman"/>
    <w:pitch w:val="default"/>
    <w:sig w:usb0="E00006FF" w:usb1="420024FF" w:usb2="02000000" w:usb3="00000000" w:csb0="2000019F" w:csb1="00000000"/>
    <w:embedRegular r:id="rId7" w:fontKey="{0AC84AAD-65BD-4BCC-83CE-AE75944D9259}"/>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5</w:t>
                </w:r>
                <w:r>
                  <w:rPr>
                    <w:rFonts w:ascii="Times New Roman" w:hAnsi="Times New Roman" w:cs="Times New Roman"/>
                    <w:sz w:val="21"/>
                    <w:szCs w:val="21"/>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F48662"/>
    <w:multiLevelType w:val="singleLevel"/>
    <w:tmpl w:val="21F4866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EyMWQ4NjEyYjViOWE4YmVkYzkwZDBlYzY5YzI5NDkifQ=="/>
  </w:docVars>
  <w:rsids>
    <w:rsidRoot w:val="00C06388"/>
    <w:rsid w:val="0004488F"/>
    <w:rsid w:val="0012787A"/>
    <w:rsid w:val="002D60A4"/>
    <w:rsid w:val="002F373B"/>
    <w:rsid w:val="003D0095"/>
    <w:rsid w:val="004143E4"/>
    <w:rsid w:val="00423C33"/>
    <w:rsid w:val="007A611F"/>
    <w:rsid w:val="009924E8"/>
    <w:rsid w:val="00A566D3"/>
    <w:rsid w:val="00A646E3"/>
    <w:rsid w:val="00AB0BD2"/>
    <w:rsid w:val="00AD5F43"/>
    <w:rsid w:val="00BE7817"/>
    <w:rsid w:val="00C06388"/>
    <w:rsid w:val="00DD08A5"/>
    <w:rsid w:val="00E5048F"/>
    <w:rsid w:val="01830099"/>
    <w:rsid w:val="022F6B7C"/>
    <w:rsid w:val="03AA6FCE"/>
    <w:rsid w:val="04B52414"/>
    <w:rsid w:val="0733659A"/>
    <w:rsid w:val="08B552FC"/>
    <w:rsid w:val="0D0448F2"/>
    <w:rsid w:val="0DC87FA4"/>
    <w:rsid w:val="0E6C44C3"/>
    <w:rsid w:val="10892A91"/>
    <w:rsid w:val="12940358"/>
    <w:rsid w:val="12B1702C"/>
    <w:rsid w:val="133B2553"/>
    <w:rsid w:val="13531FC1"/>
    <w:rsid w:val="13E7095B"/>
    <w:rsid w:val="150072C7"/>
    <w:rsid w:val="16097B4F"/>
    <w:rsid w:val="178D19F5"/>
    <w:rsid w:val="1B2D2BFA"/>
    <w:rsid w:val="1CD96995"/>
    <w:rsid w:val="1E6118E0"/>
    <w:rsid w:val="1F0A3123"/>
    <w:rsid w:val="202D2586"/>
    <w:rsid w:val="2143624C"/>
    <w:rsid w:val="23977BDB"/>
    <w:rsid w:val="23E25175"/>
    <w:rsid w:val="264E595A"/>
    <w:rsid w:val="28E85D3F"/>
    <w:rsid w:val="29312005"/>
    <w:rsid w:val="2A6678D8"/>
    <w:rsid w:val="2D7422C6"/>
    <w:rsid w:val="2DAD3A85"/>
    <w:rsid w:val="30357A05"/>
    <w:rsid w:val="3122250A"/>
    <w:rsid w:val="31A549E8"/>
    <w:rsid w:val="31F67A7C"/>
    <w:rsid w:val="324D6ECB"/>
    <w:rsid w:val="34BA347D"/>
    <w:rsid w:val="35A52830"/>
    <w:rsid w:val="36CF671D"/>
    <w:rsid w:val="37AD7B82"/>
    <w:rsid w:val="37F67DEF"/>
    <w:rsid w:val="38FB4D7F"/>
    <w:rsid w:val="3A706705"/>
    <w:rsid w:val="3DF74431"/>
    <w:rsid w:val="41214BFD"/>
    <w:rsid w:val="416215BE"/>
    <w:rsid w:val="42160BE8"/>
    <w:rsid w:val="43BB659B"/>
    <w:rsid w:val="44300448"/>
    <w:rsid w:val="44620073"/>
    <w:rsid w:val="46A33B6B"/>
    <w:rsid w:val="46C045C0"/>
    <w:rsid w:val="4A842CCD"/>
    <w:rsid w:val="4B1D6435"/>
    <w:rsid w:val="4C4C70EA"/>
    <w:rsid w:val="4CA27CD2"/>
    <w:rsid w:val="4D565C30"/>
    <w:rsid w:val="4D704A8B"/>
    <w:rsid w:val="4D795707"/>
    <w:rsid w:val="4E502B20"/>
    <w:rsid w:val="4EDF1827"/>
    <w:rsid w:val="4FAD7F37"/>
    <w:rsid w:val="52BB4433"/>
    <w:rsid w:val="544F3B03"/>
    <w:rsid w:val="56637DBE"/>
    <w:rsid w:val="57D90B31"/>
    <w:rsid w:val="5A696A2D"/>
    <w:rsid w:val="5C5064A6"/>
    <w:rsid w:val="5CCD1A24"/>
    <w:rsid w:val="5ECC6918"/>
    <w:rsid w:val="5F4C7BB8"/>
    <w:rsid w:val="5F761C8C"/>
    <w:rsid w:val="622339E4"/>
    <w:rsid w:val="646F0A55"/>
    <w:rsid w:val="682005C8"/>
    <w:rsid w:val="6AD13AF6"/>
    <w:rsid w:val="6B080BA4"/>
    <w:rsid w:val="6D6064C5"/>
    <w:rsid w:val="6DA65C88"/>
    <w:rsid w:val="6EA373A1"/>
    <w:rsid w:val="6FCE5EAB"/>
    <w:rsid w:val="70436E4A"/>
    <w:rsid w:val="736359E5"/>
    <w:rsid w:val="73C01870"/>
    <w:rsid w:val="74AC4202"/>
    <w:rsid w:val="75382715"/>
    <w:rsid w:val="76EF160F"/>
    <w:rsid w:val="7AE06D83"/>
    <w:rsid w:val="7B777056"/>
    <w:rsid w:val="7C242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note text"/>
    <w:basedOn w:val="1"/>
    <w:autoRedefine/>
    <w:unhideWhenUsed/>
    <w:qFormat/>
    <w:uiPriority w:val="99"/>
    <w:pPr>
      <w:snapToGrid w:val="0"/>
      <w:jc w:val="left"/>
    </w:pPr>
    <w:rPr>
      <w:sz w:val="18"/>
      <w:szCs w:val="18"/>
    </w:rPr>
  </w:style>
  <w:style w:type="paragraph" w:styleId="3">
    <w:name w:val="footer"/>
    <w:basedOn w:val="1"/>
    <w:link w:val="8"/>
    <w:autoRedefine/>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autoRedefine/>
    <w:semiHidden/>
    <w:qFormat/>
    <w:uiPriority w:val="99"/>
    <w:rPr>
      <w:sz w:val="18"/>
      <w:szCs w:val="18"/>
    </w:rPr>
  </w:style>
  <w:style w:type="character" w:customStyle="1" w:styleId="8">
    <w:name w:val="页脚 Char"/>
    <w:basedOn w:val="6"/>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2483</Words>
  <Characters>2710</Characters>
  <Lines>14</Lines>
  <Paragraphs>4</Paragraphs>
  <TotalTime>0</TotalTime>
  <ScaleCrop>false</ScaleCrop>
  <LinksUpToDate>false</LinksUpToDate>
  <CharactersWithSpaces>2719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2022-06-29T06:03:00Z</dcterms:created>
  <dc:creator>DELL</dc:creator>
  <cp:lastModifiedBy>万物自然</cp:lastModifiedBy>
  <cp:lastPrinted>2021-05-17T03:01:00Z</cp:lastPrinted>
  <dcterms:modified xsi:type="dcterms:W3CDTF">2024-04-22T01:10:50Z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CEE441833A8B464081AC01112E8BF9B6</vt:lpwstr>
  </property>
</Properties>
</file>